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6D91D" w14:textId="35550D89" w:rsidR="00CB47E6" w:rsidRDefault="00CB47E6" w:rsidP="00CB47E6">
      <w:pPr>
        <w:pStyle w:val="Heading1"/>
      </w:pPr>
      <w:r>
        <w:t xml:space="preserve">ERCOT Responses to Stakeholder Feedback </w:t>
      </w:r>
      <w:r w:rsidRPr="00CB47E6">
        <w:t>Regarding ERCOT Analysis of Cost Allocation of Ancillary and Reliability Services</w:t>
      </w:r>
      <w:r>
        <w:t xml:space="preserve"> </w:t>
      </w:r>
      <w:r w:rsidRPr="00CB47E6">
        <w:t>in ERCOT Region</w:t>
      </w:r>
    </w:p>
    <w:p w14:paraId="458C810E" w14:textId="77777777" w:rsidR="00CB47E6" w:rsidRDefault="00CB47E6" w:rsidP="00CB47E6"/>
    <w:p w14:paraId="05EF5DAA" w14:textId="2F1484B6" w:rsidR="00CB47E6" w:rsidRDefault="00CB47E6" w:rsidP="00CB47E6">
      <w:pPr>
        <w:pStyle w:val="Heading2"/>
      </w:pPr>
      <w:r>
        <w:t>APA and SEIA Feedback</w:t>
      </w:r>
    </w:p>
    <w:p w14:paraId="2E54D73F" w14:textId="1F3A615F" w:rsidR="00CC6FAD" w:rsidRDefault="00CB47E6" w:rsidP="00CC6FAD">
      <w:pPr>
        <w:pStyle w:val="ListParagraph"/>
        <w:numPr>
          <w:ilvl w:val="0"/>
          <w:numId w:val="5"/>
        </w:numPr>
      </w:pPr>
      <w:r w:rsidRPr="00CB47E6">
        <w:t>We recommend ERCOT provide more frequent updates to stakeholders on the primary effects and secondary effects analyses conducted by ERCOT and its consultant, with materials, to help stakeholders understand the analyses and to provide feedback on potential alternative scenarios or adjustments to ERCOT’s methodology.</w:t>
      </w:r>
    </w:p>
    <w:p w14:paraId="72D44177" w14:textId="45CFEFEF" w:rsidR="00CC6FAD" w:rsidRDefault="00CC6FAD" w:rsidP="006A79C0">
      <w:pPr>
        <w:pStyle w:val="ListParagraph"/>
        <w:ind w:left="1080"/>
      </w:pPr>
      <w:r w:rsidRPr="00F5510C">
        <w:rPr>
          <w:b/>
          <w:bCs/>
        </w:rPr>
        <w:t>ERCOT Response:</w:t>
      </w:r>
      <w:r w:rsidR="4C688A63">
        <w:t xml:space="preserve"> ERCOT recognizes this feedback. </w:t>
      </w:r>
      <w:r w:rsidR="45E71856" w:rsidRPr="6840441F">
        <w:t>ERCOT shares the goal of transparency on the primary- and secondary-effects analyses. With roughly six months to complete the primary analysis, the secondary analysis, and TAC engagement, the schedule ERCOT shared balances bringing progress forward with providing material updates that stakeholders can meaningfully provide feedback on.</w:t>
      </w:r>
    </w:p>
    <w:p w14:paraId="2FEB7680" w14:textId="77777777" w:rsidR="00C972F4" w:rsidRDefault="00C972F4" w:rsidP="00AB52E5">
      <w:pPr>
        <w:pStyle w:val="ListParagraph"/>
        <w:ind w:left="1440"/>
      </w:pPr>
    </w:p>
    <w:p w14:paraId="2DC25159" w14:textId="43D07A2A" w:rsidR="00F01E2D" w:rsidRDefault="009E60AA" w:rsidP="006C024A">
      <w:pPr>
        <w:pStyle w:val="ListParagraph"/>
        <w:numPr>
          <w:ilvl w:val="0"/>
          <w:numId w:val="5"/>
        </w:numPr>
      </w:pPr>
      <w:r w:rsidRPr="009E60AA">
        <w:t xml:space="preserve">Assigning AS/RS costs to generators will inevitably </w:t>
      </w:r>
      <w:proofErr w:type="gramStart"/>
      <w:r w:rsidRPr="009E60AA">
        <w:t>drive up</w:t>
      </w:r>
      <w:proofErr w:type="gramEnd"/>
      <w:r w:rsidRPr="009E60AA">
        <w:t xml:space="preserve"> wholesale prices as generators build those costs into their offers with consumers ultimately bearing the increase</w:t>
      </w:r>
    </w:p>
    <w:p w14:paraId="3B3354B0" w14:textId="77777777" w:rsidR="000B6AB4" w:rsidRDefault="00CF01D5" w:rsidP="006A79C0">
      <w:pPr>
        <w:pStyle w:val="ListParagraph"/>
        <w:ind w:left="1080"/>
      </w:pPr>
      <w:r w:rsidRPr="00605E2C">
        <w:rPr>
          <w:b/>
          <w:bCs/>
        </w:rPr>
        <w:t>ERCOT Response:</w:t>
      </w:r>
      <w:r w:rsidR="00E6581C">
        <w:t xml:space="preserve"> </w:t>
      </w:r>
      <w:r w:rsidR="000B6AB4" w:rsidRPr="000B6AB4">
        <w:t xml:space="preserve">This potential cost </w:t>
      </w:r>
      <w:proofErr w:type="gramStart"/>
      <w:r w:rsidR="000B6AB4" w:rsidRPr="000B6AB4">
        <w:t>pass-through</w:t>
      </w:r>
      <w:proofErr w:type="gramEnd"/>
      <w:r w:rsidR="000B6AB4" w:rsidRPr="000B6AB4">
        <w:t xml:space="preserve"> is addressed in the study's secondary-effects analysis; please see those findings in the report.</w:t>
      </w:r>
    </w:p>
    <w:p w14:paraId="10BCD4F9" w14:textId="77777777" w:rsidR="00CB6D5E" w:rsidRDefault="00CB6D5E" w:rsidP="006A79C0">
      <w:pPr>
        <w:pStyle w:val="ListParagraph"/>
        <w:ind w:left="1080"/>
      </w:pPr>
    </w:p>
    <w:p w14:paraId="088D7A16" w14:textId="5C35BAA3" w:rsidR="0026250A" w:rsidRDefault="005D7FBA" w:rsidP="0026250A">
      <w:pPr>
        <w:pStyle w:val="ListParagraph"/>
        <w:numPr>
          <w:ilvl w:val="0"/>
          <w:numId w:val="5"/>
        </w:numPr>
      </w:pPr>
      <w:r>
        <w:t xml:space="preserve"> </w:t>
      </w:r>
      <w:r w:rsidR="00CB47E6" w:rsidRPr="00CB47E6">
        <w:t xml:space="preserve">We recommend ERCOT further explore how the cost share among dispatchable, non-dispatchable, and load was derived for each AS for Methods A &amp; B. The graphs on slides 5 &amp; 6 (from the May 19th TAC meeting update), for example, show non-dispatchable resources causing 52% of the need for regulation, and load causing 48% of the need for regulation. We note that ERCOT is basing this on the forecast error for non-dispatchable resources and forecast error for load that drives the quantity of regulation procured. This information suggests that if there was no forecast error on load or non-dispatchable generation, that there would be no need for regulation, which is incorrect. Regulation’s value is in the rate at which a regulation resource adjusts its output higher or lower to compensate for the variance in the supply-demand imbalance to keep frequency within the tolerance band, even under a scenario with perfect forecasts. The analysis does not recognize this value. </w:t>
      </w:r>
    </w:p>
    <w:p w14:paraId="08618D43" w14:textId="5EE2F411" w:rsidR="00CC6FAD" w:rsidRPr="0026250A" w:rsidRDefault="00CC6FAD" w:rsidP="006A79C0">
      <w:pPr>
        <w:pStyle w:val="ListParagraph"/>
        <w:ind w:left="1080"/>
      </w:pPr>
      <w:r w:rsidRPr="0026250A">
        <w:rPr>
          <w:b/>
          <w:bCs/>
        </w:rPr>
        <w:lastRenderedPageBreak/>
        <w:t>ERCOT Response:</w:t>
      </w:r>
      <w:r w:rsidR="0026250A" w:rsidRPr="0026250A">
        <w:t xml:space="preserve"> </w:t>
      </w:r>
      <w:r w:rsidR="00F94115" w:rsidRPr="001071A6">
        <w:t xml:space="preserve">SCED dispatches dispatchable resources to forecasted net load (load minus wind minus solar). Because net load moves continuously, </w:t>
      </w:r>
      <w:r w:rsidR="00C3724D">
        <w:t>R</w:t>
      </w:r>
      <w:r w:rsidR="00F94115" w:rsidRPr="001071A6">
        <w:t>egulation offsets the mismatch between actual and dispatched net load to hold frequency near 60 Hz.</w:t>
      </w:r>
      <w:r w:rsidR="00F94115">
        <w:t xml:space="preserve"> </w:t>
      </w:r>
      <w:r w:rsidR="00032DE3" w:rsidRPr="00032DE3">
        <w:t xml:space="preserve">That </w:t>
      </w:r>
      <w:r w:rsidR="0001496C">
        <w:t>mismatch</w:t>
      </w:r>
      <w:r w:rsidR="00032DE3" w:rsidRPr="00032DE3">
        <w:t xml:space="preserve"> is driven by load, wind, and solar —so the cost </w:t>
      </w:r>
      <w:r w:rsidR="00032DE3">
        <w:t xml:space="preserve">of </w:t>
      </w:r>
      <w:r w:rsidR="00BB1D78">
        <w:t xml:space="preserve">Regulation is allocated to Load and Non-Dispatchable. </w:t>
      </w:r>
      <w:r w:rsidR="0026250A" w:rsidRPr="0026250A">
        <w:t xml:space="preserve">Methods A/B </w:t>
      </w:r>
      <w:r w:rsidR="00C705F4">
        <w:t xml:space="preserve">allocate Regulation cost </w:t>
      </w:r>
      <w:r w:rsidR="0026250A" w:rsidRPr="0026250A">
        <w:t>based on net load forecast error — specifically, error in the 5-minute-ahead net load forecast SCED uses for dispatch.</w:t>
      </w:r>
      <w:r w:rsidR="001071A6" w:rsidRPr="001071A6">
        <w:t xml:space="preserve"> </w:t>
      </w:r>
      <w:r w:rsidR="00E617B3" w:rsidRPr="00E617B3">
        <w:t xml:space="preserve">APA/SEIA correctly note </w:t>
      </w:r>
      <w:r w:rsidR="00E617B3">
        <w:t>that R</w:t>
      </w:r>
      <w:r w:rsidR="00E617B3" w:rsidRPr="00E617B3">
        <w:t xml:space="preserve">egulation </w:t>
      </w:r>
      <w:r w:rsidR="00E617B3">
        <w:t>has a</w:t>
      </w:r>
      <w:r w:rsidR="00E617B3" w:rsidRPr="00E617B3">
        <w:t xml:space="preserve"> value </w:t>
      </w:r>
      <w:r w:rsidR="00E617B3">
        <w:t xml:space="preserve">even </w:t>
      </w:r>
      <w:r w:rsidR="00E617B3" w:rsidRPr="00E617B3">
        <w:t xml:space="preserve">under </w:t>
      </w:r>
      <w:proofErr w:type="gramStart"/>
      <w:r w:rsidR="00E617B3">
        <w:t xml:space="preserve">the </w:t>
      </w:r>
      <w:r w:rsidR="00E617B3" w:rsidRPr="00E617B3">
        <w:t>accurate</w:t>
      </w:r>
      <w:proofErr w:type="gramEnd"/>
      <w:r w:rsidR="00E617B3" w:rsidRPr="00E617B3">
        <w:t xml:space="preserve"> forecasts. </w:t>
      </w:r>
      <w:r w:rsidR="00C50CED">
        <w:t xml:space="preserve">This accuracy impacts </w:t>
      </w:r>
      <w:r w:rsidR="00E617B3" w:rsidRPr="00E617B3">
        <w:t xml:space="preserve">the </w:t>
      </w:r>
      <w:r w:rsidR="00E617B3" w:rsidRPr="00E617B3">
        <w:rPr>
          <w:i/>
          <w:iCs/>
        </w:rPr>
        <w:t>amount</w:t>
      </w:r>
      <w:r w:rsidR="00E617B3" w:rsidRPr="00E617B3">
        <w:t xml:space="preserve"> of regulation, not which resources cause the </w:t>
      </w:r>
      <w:r w:rsidR="00D547B4">
        <w:t>“</w:t>
      </w:r>
      <w:r w:rsidR="00E617B3" w:rsidRPr="00E617B3">
        <w:t>need</w:t>
      </w:r>
      <w:r w:rsidR="00D547B4">
        <w:t>”</w:t>
      </w:r>
      <w:r w:rsidR="00E617B3" w:rsidRPr="00E617B3">
        <w:t xml:space="preserve"> </w:t>
      </w:r>
      <w:r w:rsidR="00E16519" w:rsidRPr="0026250A">
        <w:t xml:space="preserve">— </w:t>
      </w:r>
      <w:r w:rsidR="00D547B4">
        <w:t xml:space="preserve">i.e. movement in </w:t>
      </w:r>
      <w:r w:rsidR="00E617B3" w:rsidRPr="00E617B3">
        <w:t xml:space="preserve">net load — and load, wind, and solar are what move — regardless of forecast quality. Improving forecast accuracy would reduce the requirement and its </w:t>
      </w:r>
      <w:proofErr w:type="gramStart"/>
      <w:r w:rsidR="00E617B3" w:rsidRPr="00E617B3">
        <w:t>cost, but</w:t>
      </w:r>
      <w:proofErr w:type="gramEnd"/>
      <w:r w:rsidR="00E617B3" w:rsidRPr="00E617B3">
        <w:t xml:space="preserve"> would not change the categories that drive it.</w:t>
      </w:r>
      <w:r w:rsidR="00D547B4">
        <w:t xml:space="preserve"> </w:t>
      </w:r>
    </w:p>
    <w:p w14:paraId="6DA33DF7" w14:textId="77777777" w:rsidR="0026250A" w:rsidRDefault="0026250A" w:rsidP="0026250A">
      <w:pPr>
        <w:pStyle w:val="ListParagraph"/>
        <w:ind w:left="1440"/>
      </w:pPr>
    </w:p>
    <w:p w14:paraId="57ECD804" w14:textId="77777777" w:rsidR="00CB47E6" w:rsidRDefault="00CB47E6" w:rsidP="00CB47E6">
      <w:pPr>
        <w:pStyle w:val="ListParagraph"/>
        <w:numPr>
          <w:ilvl w:val="0"/>
          <w:numId w:val="5"/>
        </w:numPr>
      </w:pPr>
      <w:r w:rsidRPr="00CB47E6">
        <w:t>ERCOT is in the process of potentially reforming the AS procurement methodology that will impact the risks for which ERCOT procures these AS. The Commission recommended using a forward-looking probabilistic modeling approach for reliability risk drivers to refine the procurement methodology. We recommend ERCOT model scenarios on what cost allocation could look like if the AS procurement methodology were to incorporate a probabilistic risk modeling approach.</w:t>
      </w:r>
    </w:p>
    <w:p w14:paraId="164878C6" w14:textId="7473095A" w:rsidR="00CC6FAD" w:rsidRDefault="00CC6FAD" w:rsidP="006A79C0">
      <w:pPr>
        <w:pStyle w:val="ListParagraph"/>
        <w:ind w:left="1080"/>
      </w:pPr>
      <w:r w:rsidRPr="000166A9">
        <w:rPr>
          <w:b/>
          <w:bCs/>
        </w:rPr>
        <w:t>ERCOT Response:</w:t>
      </w:r>
      <w:r w:rsidR="004C1476">
        <w:t xml:space="preserve"> </w:t>
      </w:r>
      <w:r w:rsidR="00C1396D">
        <w:t>The Commission directed this study to focus on 2024–2025. The approach ERCOT used to allocate AS cost under Methods A and B is based on realized errors, congruent with the inputs to the methodology used to size AS quantities in these years.</w:t>
      </w:r>
      <w:r w:rsidR="003A3456">
        <w:t xml:space="preserve"> </w:t>
      </w:r>
      <w:r w:rsidR="00C1396D">
        <w:t xml:space="preserve">On the probabilistic risk modeling point: AS is procured to manage </w:t>
      </w:r>
      <w:r w:rsidR="212A2D09">
        <w:t>opera</w:t>
      </w:r>
      <w:r w:rsidR="3AD17DAE">
        <w:t>ti</w:t>
      </w:r>
      <w:r w:rsidR="212A2D09">
        <w:t>onal</w:t>
      </w:r>
      <w:r w:rsidR="00C1396D">
        <w:t xml:space="preserve"> </w:t>
      </w:r>
      <w:proofErr w:type="gramStart"/>
      <w:r w:rsidR="00C1396D">
        <w:t>risk  on</w:t>
      </w:r>
      <w:proofErr w:type="gramEnd"/>
      <w:r w:rsidR="00C1396D">
        <w:t xml:space="preserve"> otherwise normal ("blue-sky"</w:t>
      </w:r>
      <w:proofErr w:type="gramStart"/>
      <w:r w:rsidR="00C1396D">
        <w:t>) days —</w:t>
      </w:r>
      <w:proofErr w:type="gramEnd"/>
      <w:r w:rsidR="00C1396D">
        <w:t xml:space="preserve"> days where sufficient resources are available, but load and resource uncertainty could still put serving load at risk. It is not </w:t>
      </w:r>
      <w:r w:rsidR="44BFF5AE">
        <w:t>primarily</w:t>
      </w:r>
      <w:r w:rsidR="00C1396D">
        <w:t xml:space="preserve"> procured for </w:t>
      </w:r>
      <w:r w:rsidR="4718A25F">
        <w:t xml:space="preserve">genuine </w:t>
      </w:r>
      <w:r w:rsidR="00C1396D">
        <w:t xml:space="preserve">scarcity </w:t>
      </w:r>
      <w:r w:rsidR="6FF33219" w:rsidRPr="00601BBE">
        <w:t>events</w:t>
      </w:r>
      <w:r w:rsidR="00C1396D">
        <w:t xml:space="preserve"> where load is high, renewable output is low, and everything available is already committed. On those normal days, the fundamental drivers of that risk — and therefore of the AS requirement — are load, wind, solar, and resource availability (forced-outage performance is a proxy). Those drivers are the same regardless of how the quantities are set — whether probabilistically from historical performance, probabilistically from forecasted uncertainty, or deterministically. So</w:t>
      </w:r>
      <w:r w:rsidR="00601BBE">
        <w:t>,</w:t>
      </w:r>
      <w:r w:rsidR="00C1396D">
        <w:t xml:space="preserve"> a shift to a probabilistic risk-modeling approach would inform how AS quantities are set, but it would not change the underlying risk drivers </w:t>
      </w:r>
      <w:r w:rsidR="006B288E">
        <w:t>reflected by the allocation</w:t>
      </w:r>
      <w:r w:rsidR="1B975AF4">
        <w:t>.</w:t>
      </w:r>
      <w:r w:rsidR="00A756FC">
        <w:t xml:space="preserve"> </w:t>
      </w:r>
      <w:r w:rsidR="00E55FEB" w:rsidRPr="00E55FEB">
        <w:t>What can evolve is how the resulting cost is allocated, and the</w:t>
      </w:r>
      <w:r w:rsidR="00C1396D">
        <w:t xml:space="preserve"> basis for allocating these costs can be refined as the methodology evolves.</w:t>
      </w:r>
      <w:r w:rsidR="00F27372">
        <w:t xml:space="preserve">  </w:t>
      </w:r>
      <w:r w:rsidR="004B0C1D" w:rsidRPr="004B0C1D">
        <w:t xml:space="preserve">In addition, this study is a </w:t>
      </w:r>
      <w:proofErr w:type="spellStart"/>
      <w:r w:rsidR="004B0C1D" w:rsidRPr="004B0C1D">
        <w:t>backcast</w:t>
      </w:r>
      <w:proofErr w:type="spellEnd"/>
      <w:r w:rsidR="00E3509E">
        <w:t>:</w:t>
      </w:r>
      <w:r w:rsidR="004B0C1D">
        <w:t xml:space="preserve"> </w:t>
      </w:r>
      <w:r w:rsidR="00245881">
        <w:t>it a</w:t>
      </w:r>
      <w:r w:rsidR="00E3509E">
        <w:t>ssesses</w:t>
      </w:r>
      <w:r w:rsidR="00703C4E">
        <w:t xml:space="preserve"> “what if” the cost allocation had been different in 2024 </w:t>
      </w:r>
      <w:r w:rsidR="00703C4E">
        <w:lastRenderedPageBreak/>
        <w:t xml:space="preserve">and 2025, </w:t>
      </w:r>
      <w:r w:rsidR="00993C0F" w:rsidRPr="00993C0F">
        <w:t>while</w:t>
      </w:r>
      <w:r w:rsidR="00703C4E">
        <w:t xml:space="preserve"> the </w:t>
      </w:r>
      <w:r w:rsidR="00993C0F" w:rsidRPr="00993C0F">
        <w:t>AS</w:t>
      </w:r>
      <w:r w:rsidR="00703C4E">
        <w:t xml:space="preserve"> quantities </w:t>
      </w:r>
      <w:proofErr w:type="gramStart"/>
      <w:r w:rsidR="00993C0F" w:rsidRPr="00993C0F">
        <w:t>actually procured</w:t>
      </w:r>
      <w:proofErr w:type="gramEnd"/>
      <w:r w:rsidR="00993C0F" w:rsidRPr="00993C0F">
        <w:t xml:space="preserve"> </w:t>
      </w:r>
      <w:r w:rsidR="009733A6">
        <w:t>in</w:t>
      </w:r>
      <w:r w:rsidR="00703C4E">
        <w:t xml:space="preserve"> </w:t>
      </w:r>
      <w:r w:rsidR="00993C0F" w:rsidRPr="00993C0F">
        <w:t xml:space="preserve">those years are held fixed — so it does not </w:t>
      </w:r>
      <w:r w:rsidR="0086282F">
        <w:t>consider</w:t>
      </w:r>
      <w:r w:rsidR="0086282F" w:rsidRPr="00993C0F">
        <w:t xml:space="preserve"> </w:t>
      </w:r>
      <w:r w:rsidR="00993C0F" w:rsidRPr="00993C0F">
        <w:t>how a probabilistic approach would change those quantities</w:t>
      </w:r>
      <w:r w:rsidR="00F77D0D">
        <w:t>.</w:t>
      </w:r>
    </w:p>
    <w:p w14:paraId="6B2F199D" w14:textId="77777777" w:rsidR="004801BB" w:rsidRDefault="004801BB" w:rsidP="00F6783B">
      <w:pPr>
        <w:pStyle w:val="ListParagraph"/>
        <w:ind w:left="1440"/>
      </w:pPr>
    </w:p>
    <w:p w14:paraId="570DB9DD" w14:textId="14325D39" w:rsidR="00CB47E6" w:rsidRDefault="00CB47E6" w:rsidP="00CB47E6">
      <w:pPr>
        <w:pStyle w:val="ListParagraph"/>
        <w:numPr>
          <w:ilvl w:val="0"/>
          <w:numId w:val="5"/>
        </w:numPr>
      </w:pPr>
      <w:r w:rsidRPr="00CB47E6">
        <w:t>Another significant risk that has been highlighted in recent months is the swings associated with large load variance. As large loads increase in the system, the use of (and the need to procure) ancillary services for this particular risk driver is likely to increase, shifting the cost allocation shares for Methods A and B. We recommend ERCOT provide any data and analysis on the use of ancillary services to address the risk drivers recently associated with large loads to illustrate the value of ancillary services beyond the categories shown in Methods A and B results. Given the broader regulatory push to allocate costs associated with large loads that is being addressed in multiple Commission proceedings related to SB6, it may be appropriate to allocate incremental costs associated with increasing ancillary services procurement triggered by these large loads to that subset of customers, and that should be included in the Commission’s report to the Texas Legislature.</w:t>
      </w:r>
    </w:p>
    <w:p w14:paraId="235A68B4" w14:textId="5103C3B4" w:rsidR="00FA1EAD" w:rsidRDefault="00CC6FAD" w:rsidP="00E412FB">
      <w:pPr>
        <w:ind w:left="1080"/>
      </w:pPr>
      <w:r w:rsidRPr="009C6823">
        <w:rPr>
          <w:b/>
          <w:bCs/>
        </w:rPr>
        <w:t>ERCOT Response</w:t>
      </w:r>
      <w:r w:rsidRPr="00FC1BB0">
        <w:rPr>
          <w:b/>
          <w:bCs/>
        </w:rPr>
        <w:t>:</w:t>
      </w:r>
      <w:r w:rsidR="006C5074">
        <w:t xml:space="preserve"> </w:t>
      </w:r>
      <w:r w:rsidR="000632B6">
        <w:t xml:space="preserve">On </w:t>
      </w:r>
      <w:proofErr w:type="gramStart"/>
      <w:r w:rsidR="000632B6">
        <w:t>the request</w:t>
      </w:r>
      <w:proofErr w:type="gramEnd"/>
      <w:r w:rsidR="000632B6">
        <w:t xml:space="preserve"> for data and analysis: at present, </w:t>
      </w:r>
      <w:r w:rsidR="62FB5088">
        <w:t xml:space="preserve">large loads are not a material, separable driver of </w:t>
      </w:r>
      <w:proofErr w:type="gramStart"/>
      <w:r w:rsidR="62FB5088">
        <w:t>the</w:t>
      </w:r>
      <w:r w:rsidR="000632B6">
        <w:t xml:space="preserve">  AS</w:t>
      </w:r>
      <w:proofErr w:type="gramEnd"/>
      <w:r w:rsidR="000632B6">
        <w:t xml:space="preserve"> </w:t>
      </w:r>
      <w:proofErr w:type="gramStart"/>
      <w:r w:rsidR="000632B6">
        <w:t>requirement ,</w:t>
      </w:r>
      <w:proofErr w:type="gramEnd"/>
      <w:r w:rsidR="000632B6">
        <w:t xml:space="preserve"> and </w:t>
      </w:r>
      <w:r w:rsidR="77F08551">
        <w:t xml:space="preserve">they are not carved out in the study — their consumption is included within the load category and treated the same as </w:t>
      </w:r>
      <w:proofErr w:type="gramStart"/>
      <w:r w:rsidR="77F08551">
        <w:t>other</w:t>
      </w:r>
      <w:proofErr w:type="gramEnd"/>
      <w:r w:rsidR="77F08551">
        <w:t xml:space="preserve"> </w:t>
      </w:r>
      <w:proofErr w:type="gramStart"/>
      <w:r w:rsidR="77F08551">
        <w:t>load</w:t>
      </w:r>
      <w:proofErr w:type="gramEnd"/>
      <w:r w:rsidR="77F08551">
        <w:t xml:space="preserve">. </w:t>
      </w:r>
      <w:r w:rsidR="000632B6">
        <w:t xml:space="preserve"> Where large-load variability does touch the AS need, it appears in the regulation context, and </w:t>
      </w:r>
      <w:r w:rsidR="5A880A7A">
        <w:t>ERCOT post</w:t>
      </w:r>
      <w:r w:rsidR="006A52D0">
        <w:t>s</w:t>
      </w:r>
      <w:r w:rsidR="5A880A7A">
        <w:t xml:space="preserve"> regular analysis on this topic with the PDCWG</w:t>
      </w:r>
      <w:r w:rsidR="000632B6">
        <w:t>.</w:t>
      </w:r>
      <w:r w:rsidR="00FA1EAD" w:rsidRPr="00FA1EAD">
        <w:t xml:space="preserve"> </w:t>
      </w:r>
      <w:r w:rsidR="006A52D0">
        <w:t xml:space="preserve">ERCOT does not </w:t>
      </w:r>
      <w:r w:rsidR="00FA1EAD">
        <w:t>yet see large loads as a material, separable driver of AS procurement in the 2024–2025 data.</w:t>
      </w:r>
    </w:p>
    <w:p w14:paraId="35FC077B" w14:textId="3AEB5F57" w:rsidR="00CC6FAD" w:rsidRDefault="00FA1EAD" w:rsidP="005042C8">
      <w:pPr>
        <w:ind w:left="1080"/>
      </w:pPr>
      <w:r w:rsidRPr="00FA1EAD">
        <w:t xml:space="preserve">On the recommendation to allocate incremental AS costs to the large-load subset and reflect that in the Commission's report: this study </w:t>
      </w:r>
      <w:r>
        <w:t xml:space="preserve">in Methods A and B </w:t>
      </w:r>
      <w:r w:rsidRPr="00FA1EAD">
        <w:t>allocates AS cost through the dispatchable / non-dispatchable / load framework defined in the Commission-approved study scope (Project No. 58555), apportioning each service by the operational risk it is procured to address; it does not allocate to individual customer subsets. A large-load subset allocation would fall outside that framework and the study's 2024–2025 scope</w:t>
      </w:r>
      <w:r>
        <w:t>.</w:t>
      </w:r>
      <w:r w:rsidR="000632B6">
        <w:t xml:space="preserve"> </w:t>
      </w:r>
    </w:p>
    <w:p w14:paraId="3A142B03" w14:textId="29A857E4" w:rsidR="00CC6FAD" w:rsidRDefault="000632B6" w:rsidP="005042C8">
      <w:pPr>
        <w:ind w:left="1080"/>
      </w:pPr>
      <w:r>
        <w:t xml:space="preserve">More broadly, the point is consistent with how we've described the allocation throughout: the Method A/B categories reflect the contemporaneous key risk drivers — load, wind, solar, and resource availability. As the grid evolves and large loads grow, it follows that, </w:t>
      </w:r>
      <w:proofErr w:type="gramStart"/>
      <w:r>
        <w:t>if and when</w:t>
      </w:r>
      <w:proofErr w:type="gramEnd"/>
      <w:r>
        <w:t xml:space="preserve"> large-load variability becomes a material driver of the AS requirement, the allocation basis should evolve to </w:t>
      </w:r>
      <w:r>
        <w:lastRenderedPageBreak/>
        <w:t>reflect that. We can state this principle in the report — that the allocation reflects current key drivers and should be revisited as those drivers change.</w:t>
      </w:r>
    </w:p>
    <w:p w14:paraId="14E541A6" w14:textId="77777777" w:rsidR="00CC6FAD" w:rsidRDefault="00CC6FAD" w:rsidP="00CC6FAD">
      <w:pPr>
        <w:pStyle w:val="ListParagraph"/>
      </w:pPr>
    </w:p>
    <w:p w14:paraId="4C9D4156" w14:textId="77777777" w:rsidR="00CB47E6" w:rsidRDefault="00CB47E6" w:rsidP="00CB47E6">
      <w:pPr>
        <w:pStyle w:val="ListParagraph"/>
        <w:numPr>
          <w:ilvl w:val="0"/>
          <w:numId w:val="5"/>
        </w:numPr>
      </w:pPr>
      <w:r w:rsidRPr="00CB47E6">
        <w:t>Given the complexity and the reliance on assumptions regarding participant behavior change, we recommend ERCOT direct their consultant to present their preliminary approach to stakeholders for feedback prior to the July TAC meeting.</w:t>
      </w:r>
    </w:p>
    <w:p w14:paraId="55924FE4" w14:textId="427136CA" w:rsidR="00CC6FAD" w:rsidRDefault="00CC6FAD" w:rsidP="00F04BEA">
      <w:pPr>
        <w:ind w:left="1080"/>
      </w:pPr>
      <w:r w:rsidRPr="2A9C965B">
        <w:rPr>
          <w:b/>
          <w:bCs/>
        </w:rPr>
        <w:t>ERCOT Response</w:t>
      </w:r>
      <w:proofErr w:type="gramStart"/>
      <w:r w:rsidRPr="2A9C965B">
        <w:rPr>
          <w:b/>
          <w:bCs/>
        </w:rPr>
        <w:t>:</w:t>
      </w:r>
      <w:r w:rsidR="000D6204">
        <w:t xml:space="preserve"> </w:t>
      </w:r>
      <w:r w:rsidR="26E9A0D3">
        <w:t xml:space="preserve"> ERCOT</w:t>
      </w:r>
      <w:proofErr w:type="gramEnd"/>
      <w:r w:rsidR="26E9A0D3">
        <w:t xml:space="preserve"> will provide an update on the secondary-effects analysis at the July TAC meeting, and LEI, ERCOT's consultant, will be available to answer questions at that meeting.</w:t>
      </w:r>
    </w:p>
    <w:p w14:paraId="79BCA852" w14:textId="77777777" w:rsidR="00CC6FAD" w:rsidRDefault="00CC6FAD" w:rsidP="00CC6FAD">
      <w:pPr>
        <w:pStyle w:val="ListParagraph"/>
      </w:pPr>
    </w:p>
    <w:p w14:paraId="0083DA5E" w14:textId="11C4F951" w:rsidR="00CB47E6" w:rsidRDefault="00CB47E6" w:rsidP="00CB47E6">
      <w:pPr>
        <w:pStyle w:val="ListParagraph"/>
        <w:numPr>
          <w:ilvl w:val="0"/>
          <w:numId w:val="5"/>
        </w:numPr>
      </w:pPr>
      <w:r w:rsidRPr="00CB47E6">
        <w:t>In Method 1, given the overlap with firming (ramp periods and high-risk hours) and the ongoing development of new protocols, resources subject to firming will likely already address any output shortfalls through the mechanisms defined in that issue. As the analysis and results are communicated, it is important to recognize and account for potential compounding of responsibility for these resources from firming, and the negative impacts of allocating additional ancillary service costs based on performance during the ramp hours.</w:t>
      </w:r>
    </w:p>
    <w:p w14:paraId="3C2713A2" w14:textId="25F0937E" w:rsidR="00CB47E6" w:rsidRPr="00CB47E6" w:rsidRDefault="00CC6FAD" w:rsidP="00BD528F">
      <w:pPr>
        <w:ind w:left="720"/>
      </w:pPr>
      <w:r w:rsidRPr="2A9C965B">
        <w:rPr>
          <w:b/>
          <w:bCs/>
        </w:rPr>
        <w:t>ERCOT Response:</w:t>
      </w:r>
      <w:r w:rsidR="00B158B7">
        <w:t xml:space="preserve"> </w:t>
      </w:r>
      <w:r w:rsidR="005629AC">
        <w:t>ERCOT agrees that</w:t>
      </w:r>
      <w:r w:rsidR="00CE6C9E">
        <w:t xml:space="preserve"> both the Generation Firming Program and the Method A/B allocation </w:t>
      </w:r>
      <w:r w:rsidR="0077677A">
        <w:t xml:space="preserve">can </w:t>
      </w:r>
      <w:r w:rsidR="00CE6C9E">
        <w:t xml:space="preserve">reflect resource performance during </w:t>
      </w:r>
      <w:r w:rsidR="0077677A">
        <w:t>overlapping hours</w:t>
      </w:r>
      <w:r w:rsidR="000E596D">
        <w:t xml:space="preserve">, </w:t>
      </w:r>
      <w:r w:rsidR="00CE6C9E">
        <w:t>so a resource subject to a Firming Performance Obligation</w:t>
      </w:r>
      <w:r w:rsidR="0079634B">
        <w:t xml:space="preserve"> </w:t>
      </w:r>
      <w:r w:rsidR="00CE6C9E">
        <w:t xml:space="preserve">could </w:t>
      </w:r>
      <w:r w:rsidR="0079634B">
        <w:t>face both</w:t>
      </w:r>
      <w:r w:rsidR="00CE6C9E">
        <w:t>.</w:t>
      </w:r>
      <w:r w:rsidR="009D5073">
        <w:t xml:space="preserve"> </w:t>
      </w:r>
      <w:r w:rsidR="00253E26">
        <w:t xml:space="preserve">The overlap is currently </w:t>
      </w:r>
      <w:proofErr w:type="gramStart"/>
      <w:r w:rsidR="00253E26">
        <w:t>bounded</w:t>
      </w:r>
      <w:proofErr w:type="gramEnd"/>
      <w:r w:rsidR="00253E26">
        <w:t>:</w:t>
      </w:r>
      <w:r w:rsidR="009D5073">
        <w:t xml:space="preserve"> </w:t>
      </w:r>
      <w:r w:rsidR="00CE6C9E">
        <w:t xml:space="preserve">Generation Firming Program is still being developed through </w:t>
      </w:r>
      <w:proofErr w:type="gramStart"/>
      <w:r w:rsidR="00CE6C9E">
        <w:t>NPRR1328</w:t>
      </w:r>
      <w:proofErr w:type="gramEnd"/>
      <w:r w:rsidR="00253E26">
        <w:t xml:space="preserve"> and</w:t>
      </w:r>
      <w:r w:rsidR="003855DD">
        <w:t xml:space="preserve"> </w:t>
      </w:r>
      <w:r w:rsidR="00CE6C9E">
        <w:t>Firming Performance Obligations apply only to Generation Resources with a Standard Generation Interconnection Agreement executed on or after January 1, 2027, so the set of resources facing both mechanisms is limited initially, though it may grow.</w:t>
      </w:r>
      <w:r w:rsidR="00485B9F">
        <w:t xml:space="preserve"> </w:t>
      </w:r>
      <w:r w:rsidR="002977DB" w:rsidRPr="002977DB">
        <w:t xml:space="preserve">The overlap is also limited in time: the firming obligation applies to a limited set of hours </w:t>
      </w:r>
      <w:r w:rsidR="00614CA6" w:rsidRPr="00614CA6">
        <w:t>— the seasonal morning and evening ramp hours together with additional high-risk/low-reserve hours —</w:t>
      </w:r>
      <w:r w:rsidR="00614CA6">
        <w:t xml:space="preserve"> </w:t>
      </w:r>
      <w:r w:rsidR="002977DB" w:rsidRPr="002977DB">
        <w:t>whereas AS and RS are procured across all hours. So</w:t>
      </w:r>
      <w:r w:rsidR="00EC4740">
        <w:t>,</w:t>
      </w:r>
      <w:r w:rsidR="002977DB" w:rsidRPr="002977DB">
        <w:t xml:space="preserve"> the two mechanisms coincide only </w:t>
      </w:r>
      <w:proofErr w:type="gramStart"/>
      <w:r w:rsidR="002977DB" w:rsidRPr="002977DB">
        <w:t>for</w:t>
      </w:r>
      <w:proofErr w:type="gramEnd"/>
      <w:r w:rsidR="002977DB" w:rsidRPr="002977DB">
        <w:t xml:space="preserve"> a limited set of resources and only during a limited set of hours.</w:t>
      </w:r>
      <w:r w:rsidR="00EC4740">
        <w:t xml:space="preserve"> Further, t</w:t>
      </w:r>
      <w:r w:rsidR="00C37844">
        <w:t xml:space="preserve">he two mechanisms serve different purposes </w:t>
      </w:r>
      <w:r w:rsidR="00B60B68">
        <w:t>-</w:t>
      </w:r>
      <w:r w:rsidR="00C37844">
        <w:t xml:space="preserve"> </w:t>
      </w:r>
      <w:r w:rsidR="00CE6C9E">
        <w:t xml:space="preserve">the Generation Firming Program </w:t>
      </w:r>
      <w:r w:rsidR="00C37844">
        <w:t>(</w:t>
      </w:r>
      <w:r w:rsidR="00CE6C9E">
        <w:t>PURA § 39.1592</w:t>
      </w:r>
      <w:r w:rsidR="001674A7">
        <w:t>)</w:t>
      </w:r>
      <w:r w:rsidR="00CE6C9E">
        <w:t xml:space="preserve"> places </w:t>
      </w:r>
      <w:r w:rsidR="001674A7">
        <w:t>a</w:t>
      </w:r>
      <w:r w:rsidR="35CE1816">
        <w:t>n</w:t>
      </w:r>
      <w:r w:rsidR="001674A7">
        <w:t xml:space="preserve"> availability </w:t>
      </w:r>
      <w:r w:rsidR="00F80EDE">
        <w:t xml:space="preserve">obligation backed by a penalty charge, </w:t>
      </w:r>
      <w:r w:rsidR="00A51BD9">
        <w:t>w</w:t>
      </w:r>
      <w:r w:rsidR="00F80EDE">
        <w:t>hile t</w:t>
      </w:r>
      <w:r w:rsidR="00CE6C9E">
        <w:t xml:space="preserve">his AS Cost Allocation Study </w:t>
      </w:r>
      <w:r w:rsidR="00F80EDE">
        <w:t>(</w:t>
      </w:r>
      <w:r w:rsidR="00CE6C9E">
        <w:t>PURA § 39.1593</w:t>
      </w:r>
      <w:r w:rsidR="00F80EDE">
        <w:t>)</w:t>
      </w:r>
      <w:r w:rsidR="00CE6C9E">
        <w:t xml:space="preserve"> evaluates whether alternative allocations would produce net savings to consumers; any effect on resource revenues is a consequence of the allocation rather than its purpose.</w:t>
      </w:r>
      <w:r w:rsidR="00860E88">
        <w:t xml:space="preserve"> </w:t>
      </w:r>
      <w:r w:rsidR="003855DD">
        <w:t xml:space="preserve">ERCOT </w:t>
      </w:r>
      <w:proofErr w:type="gramStart"/>
      <w:r w:rsidR="003855DD">
        <w:t>anticipates</w:t>
      </w:r>
      <w:proofErr w:type="gramEnd"/>
      <w:r w:rsidR="003855DD">
        <w:t xml:space="preserve"> the report will note this cumulative </w:t>
      </w:r>
      <w:proofErr w:type="gramStart"/>
      <w:r w:rsidR="003855DD">
        <w:t>effect</w:t>
      </w:r>
      <w:proofErr w:type="gramEnd"/>
      <w:r w:rsidR="003855DD">
        <w:t xml:space="preserve"> so the combined impact is visible when results are interpreted.</w:t>
      </w:r>
    </w:p>
    <w:p w14:paraId="062EDD69" w14:textId="59CFB99F" w:rsidR="00CB47E6" w:rsidRDefault="00CB47E6" w:rsidP="00CB47E6">
      <w:pPr>
        <w:pStyle w:val="Heading2"/>
      </w:pPr>
      <w:r>
        <w:lastRenderedPageBreak/>
        <w:t>LCRA</w:t>
      </w:r>
    </w:p>
    <w:p w14:paraId="132F3F2C" w14:textId="77777777" w:rsidR="00CB47E6" w:rsidRDefault="00CB47E6" w:rsidP="00CB47E6">
      <w:pPr>
        <w:pStyle w:val="ListParagraph"/>
        <w:numPr>
          <w:ilvl w:val="0"/>
          <w:numId w:val="4"/>
        </w:numPr>
      </w:pPr>
      <w:r w:rsidRPr="00CB47E6">
        <w:t>For Methods A and B:</w:t>
      </w:r>
    </w:p>
    <w:p w14:paraId="3192DCAA" w14:textId="77777777" w:rsidR="00CB47E6" w:rsidRDefault="00CB47E6" w:rsidP="00CB47E6">
      <w:pPr>
        <w:pStyle w:val="ListParagraph"/>
        <w:numPr>
          <w:ilvl w:val="1"/>
          <w:numId w:val="4"/>
        </w:numPr>
      </w:pPr>
      <w:r w:rsidRPr="00CB47E6">
        <w:t>We are curious how outages are handled in the dispatchable ratio share calculation. Are there any differences in handling derates, forced outages, planned outages, intraday outages vs. outages that extend to the next day?</w:t>
      </w:r>
    </w:p>
    <w:p w14:paraId="01B9C9D0" w14:textId="5D13FBBA" w:rsidR="00FE00FF" w:rsidRDefault="00EE0D93" w:rsidP="00960075">
      <w:pPr>
        <w:ind w:left="1980"/>
      </w:pPr>
      <w:r w:rsidRPr="004B6862">
        <w:rPr>
          <w:b/>
          <w:bCs/>
        </w:rPr>
        <w:t>ER</w:t>
      </w:r>
      <w:r w:rsidR="00A777F0" w:rsidRPr="004B6862">
        <w:rPr>
          <w:b/>
          <w:bCs/>
        </w:rPr>
        <w:t>CO</w:t>
      </w:r>
      <w:r w:rsidR="00847A58" w:rsidRPr="004B6862">
        <w:rPr>
          <w:b/>
          <w:bCs/>
        </w:rPr>
        <w:t>T R</w:t>
      </w:r>
      <w:r w:rsidR="00704749" w:rsidRPr="004B6862">
        <w:rPr>
          <w:b/>
          <w:bCs/>
        </w:rPr>
        <w:t>espo</w:t>
      </w:r>
      <w:r w:rsidR="00D16432" w:rsidRPr="004B6862">
        <w:rPr>
          <w:b/>
          <w:bCs/>
        </w:rPr>
        <w:t>nse:</w:t>
      </w:r>
      <w:r w:rsidR="00D16432">
        <w:t xml:space="preserve"> </w:t>
      </w:r>
      <w:r w:rsidR="003C26E4">
        <w:t>The o</w:t>
      </w:r>
      <w:r w:rsidR="00970E2E">
        <w:t>utage a</w:t>
      </w:r>
      <w:r w:rsidR="00921B58">
        <w:t>naly</w:t>
      </w:r>
      <w:r w:rsidR="003E6011">
        <w:t xml:space="preserve">sis is </w:t>
      </w:r>
      <w:r w:rsidR="00F91253">
        <w:t>tied to th</w:t>
      </w:r>
      <w:r w:rsidR="003D2AA3">
        <w:t>e m</w:t>
      </w:r>
      <w:r w:rsidR="0024249B">
        <w:t>et</w:t>
      </w:r>
      <w:r w:rsidR="00A84AFF">
        <w:t>hods us</w:t>
      </w:r>
      <w:r w:rsidR="00A752A8">
        <w:t xml:space="preserve">ed as </w:t>
      </w:r>
      <w:r w:rsidR="00F66A34">
        <w:t xml:space="preserve">part of AS </w:t>
      </w:r>
      <w:r w:rsidR="00C036C6">
        <w:t>methodolo</w:t>
      </w:r>
      <w:r w:rsidR="00E54278">
        <w:t xml:space="preserve">gy. </w:t>
      </w:r>
      <w:r w:rsidR="00122E61">
        <w:t>Overall</w:t>
      </w:r>
      <w:r w:rsidR="00BE0C5E">
        <w:t>, th</w:t>
      </w:r>
      <w:r w:rsidR="001F6A44">
        <w:t xml:space="preserve">e focus is </w:t>
      </w:r>
      <w:r w:rsidR="00BD00F0">
        <w:t xml:space="preserve">based on </w:t>
      </w:r>
      <w:r w:rsidR="003C5014">
        <w:t>for</w:t>
      </w:r>
      <w:r w:rsidR="00623FB1">
        <w:t>ced</w:t>
      </w:r>
      <w:r w:rsidR="00E46F9C">
        <w:t xml:space="preserve"> </w:t>
      </w:r>
      <w:r w:rsidR="00DA4882">
        <w:t>outages</w:t>
      </w:r>
      <w:r w:rsidR="0066198C">
        <w:t xml:space="preserve"> or </w:t>
      </w:r>
      <w:r w:rsidR="00A90886">
        <w:t>forced e</w:t>
      </w:r>
      <w:r w:rsidR="00DE7C0F">
        <w:t xml:space="preserve">xtended </w:t>
      </w:r>
      <w:r w:rsidR="00A814CA">
        <w:t>outages</w:t>
      </w:r>
      <w:r w:rsidR="00B56092">
        <w:t xml:space="preserve"> on</w:t>
      </w:r>
      <w:r w:rsidR="00854342">
        <w:t xml:space="preserve">ly. </w:t>
      </w:r>
      <w:r w:rsidR="002A7CBC">
        <w:t>O</w:t>
      </w:r>
      <w:r w:rsidR="002430CA">
        <w:t>utages</w:t>
      </w:r>
      <w:r w:rsidR="006F43D9">
        <w:t xml:space="preserve"> will incl</w:t>
      </w:r>
      <w:r w:rsidR="00C248C6">
        <w:t xml:space="preserve">ude </w:t>
      </w:r>
      <w:r w:rsidR="00EA3D21">
        <w:t xml:space="preserve">full and </w:t>
      </w:r>
      <w:proofErr w:type="gramStart"/>
      <w:r w:rsidR="00236959">
        <w:t>der</w:t>
      </w:r>
      <w:r w:rsidR="00A93A5F">
        <w:t>ate</w:t>
      </w:r>
      <w:proofErr w:type="gramEnd"/>
      <w:r w:rsidR="00A93A5F">
        <w:t xml:space="preserve"> outage</w:t>
      </w:r>
      <w:r w:rsidR="00036C40">
        <w:t xml:space="preserve">s </w:t>
      </w:r>
      <w:r w:rsidR="001B666E">
        <w:t>an</w:t>
      </w:r>
      <w:r w:rsidR="002D6B59">
        <w:t>d</w:t>
      </w:r>
      <w:r w:rsidR="00006B6D">
        <w:t xml:space="preserve"> </w:t>
      </w:r>
      <w:r w:rsidR="00863527">
        <w:t xml:space="preserve">only </w:t>
      </w:r>
      <w:r w:rsidR="00866C2E">
        <w:t>included as an</w:t>
      </w:r>
      <w:r w:rsidR="0097454C">
        <w:t xml:space="preserve"> impact</w:t>
      </w:r>
      <w:r w:rsidR="006156D3">
        <w:t xml:space="preserve"> </w:t>
      </w:r>
      <w:r w:rsidR="00AC3221">
        <w:t xml:space="preserve">to the </w:t>
      </w:r>
      <w:r w:rsidR="00424F5B">
        <w:t>hour</w:t>
      </w:r>
      <w:r w:rsidR="00C83547">
        <w:t xml:space="preserve">s for </w:t>
      </w:r>
      <w:r w:rsidR="00BD449B">
        <w:t xml:space="preserve">the </w:t>
      </w:r>
      <w:r w:rsidR="00AC3221">
        <w:t>durat</w:t>
      </w:r>
      <w:r w:rsidR="007D42AA">
        <w:t>ion of the o</w:t>
      </w:r>
      <w:r w:rsidR="00FD7698">
        <w:t>utage</w:t>
      </w:r>
      <w:r w:rsidR="00FF6036">
        <w:t xml:space="preserve">. </w:t>
      </w:r>
      <w:r w:rsidR="00F54D0D">
        <w:t>Pl</w:t>
      </w:r>
      <w:r w:rsidR="0096427B">
        <w:t>anned out</w:t>
      </w:r>
      <w:r w:rsidR="00024778">
        <w:t>ages are n</w:t>
      </w:r>
      <w:r w:rsidR="00D4167A">
        <w:t xml:space="preserve">ot included. </w:t>
      </w:r>
    </w:p>
    <w:p w14:paraId="6792594D" w14:textId="28D682D7" w:rsidR="009B6253" w:rsidRDefault="00CB47E6" w:rsidP="0098300E">
      <w:pPr>
        <w:pStyle w:val="ListParagraph"/>
        <w:numPr>
          <w:ilvl w:val="1"/>
          <w:numId w:val="4"/>
        </w:numPr>
      </w:pPr>
      <w:r w:rsidRPr="00CB47E6">
        <w:t>For the generation ratio share, we understood that real-time HSL might have been considered in the calculation. What are the implications of switching the allocation to look at a registered seasonal capacity figure?</w:t>
      </w:r>
    </w:p>
    <w:p w14:paraId="1F39BFDD" w14:textId="14C631BB" w:rsidR="00FE00FF" w:rsidRDefault="00FE00FF" w:rsidP="00960075">
      <w:pPr>
        <w:ind w:left="1980"/>
        <w:rPr>
          <w:rFonts w:ascii="Arial" w:eastAsia="Arial" w:hAnsi="Arial" w:cs="Arial"/>
        </w:rPr>
      </w:pPr>
      <w:r w:rsidRPr="00614FB8">
        <w:rPr>
          <w:b/>
        </w:rPr>
        <w:t>ERCOT Response</w:t>
      </w:r>
      <w:proofErr w:type="gramStart"/>
      <w:r>
        <w:t>:</w:t>
      </w:r>
      <w:r w:rsidR="00661657">
        <w:t xml:space="preserve"> </w:t>
      </w:r>
      <w:r w:rsidR="078EE575" w:rsidRPr="6840441F">
        <w:rPr>
          <w:rFonts w:ascii="Arial" w:eastAsia="Arial" w:hAnsi="Arial" w:cs="Arial"/>
        </w:rPr>
        <w:t xml:space="preserve"> Real</w:t>
      </w:r>
      <w:proofErr w:type="gramEnd"/>
      <w:r w:rsidR="078EE575" w:rsidRPr="6840441F">
        <w:rPr>
          <w:rFonts w:ascii="Arial" w:eastAsia="Arial" w:hAnsi="Arial" w:cs="Arial"/>
        </w:rPr>
        <w:t xml:space="preserve">-Time HSL reflects each resource's actual available capability in the relevant hours, whereas registered seasonal capacity is a static nameplate figure that does not reflect real-time availability; Real-Time HSL was used </w:t>
      </w:r>
      <w:r w:rsidR="00A31A5F">
        <w:rPr>
          <w:rFonts w:ascii="Arial" w:eastAsia="Arial" w:hAnsi="Arial" w:cs="Arial"/>
        </w:rPr>
        <w:t>as</w:t>
      </w:r>
      <w:r w:rsidR="078EE575" w:rsidRPr="6840441F">
        <w:rPr>
          <w:rFonts w:ascii="Arial" w:eastAsia="Arial" w:hAnsi="Arial" w:cs="Arial"/>
        </w:rPr>
        <w:t xml:space="preserve"> it aligns with the AS Methodology inputs.</w:t>
      </w:r>
    </w:p>
    <w:p w14:paraId="72714190" w14:textId="77777777" w:rsidR="00E71F5B" w:rsidRDefault="00CB47E6" w:rsidP="00E71F5B">
      <w:pPr>
        <w:pStyle w:val="ListParagraph"/>
        <w:numPr>
          <w:ilvl w:val="1"/>
          <w:numId w:val="4"/>
        </w:numPr>
      </w:pPr>
      <w:r w:rsidRPr="00CB47E6">
        <w:t>Are all factors that form the basis for RRS procurement accounted for in the allocation methodology?</w:t>
      </w:r>
      <w:r w:rsidR="00A07169">
        <w:t xml:space="preserve"> </w:t>
      </w:r>
      <w:r w:rsidRPr="00CB47E6">
        <w:t>For RRS, we have similar feelings that NRG expressed at TAC. This product is procured in part to manage unpredictable supply and demand mismatches which can be in large part to the operation of non-dispatchable resources. We believe non-dispatchable resources should be considered in the allocation.</w:t>
      </w:r>
    </w:p>
    <w:p w14:paraId="2A04B98C" w14:textId="3D2B65FA" w:rsidR="00FA5FA2" w:rsidRDefault="00E71F5B" w:rsidP="00960075">
      <w:pPr>
        <w:ind w:left="1980"/>
      </w:pPr>
      <w:r w:rsidRPr="006E6915">
        <w:rPr>
          <w:b/>
          <w:bCs/>
        </w:rPr>
        <w:t>ERCOT Response:</w:t>
      </w:r>
      <w:r>
        <w:t xml:space="preserve"> </w:t>
      </w:r>
      <w:r w:rsidR="009E2BD0" w:rsidRPr="009E2BD0">
        <w:t xml:space="preserve">RRS exists to cover a resource-loss event, not because of low inertia: it must cover the loss of the two largest single-resource contingencies without triggering under-frequency load shed. The </w:t>
      </w:r>
      <w:r w:rsidR="00393A23">
        <w:t>=</w:t>
      </w:r>
      <w:r w:rsidR="00FF547A">
        <w:t>at risk MW-loss</w:t>
      </w:r>
      <w:r w:rsidR="009E2BD0" w:rsidRPr="009E2BD0">
        <w:t xml:space="preserve"> differs by resource type — for a dispatchable resource it </w:t>
      </w:r>
      <w:r w:rsidR="009E2BD0" w:rsidRPr="00D83AE9">
        <w:rPr>
          <w:color w:val="11171D" w:themeColor="text1"/>
        </w:rPr>
        <w:t xml:space="preserve">is the loss of a whole synchronous </w:t>
      </w:r>
      <w:r w:rsidR="009E2BD0" w:rsidRPr="009E2BD0">
        <w:t xml:space="preserve">unit; for an asynchronous non-dispatchable resource it is far smaller (a single </w:t>
      </w:r>
      <w:r w:rsidR="00FF547A">
        <w:t xml:space="preserve">solar-inverter </w:t>
      </w:r>
      <w:r w:rsidR="009E2BD0" w:rsidRPr="009E2BD0">
        <w:t xml:space="preserve">or turbine, not the whole plant), </w:t>
      </w:r>
      <w:r w:rsidR="00255A0C">
        <w:t xml:space="preserve">too small to materially impact </w:t>
      </w:r>
      <w:r w:rsidR="009E2BD0" w:rsidRPr="009E2BD0">
        <w:t xml:space="preserve">system frequency. So RRS is </w:t>
      </w:r>
      <w:r w:rsidR="00C52FB5">
        <w:t>procured</w:t>
      </w:r>
      <w:r w:rsidR="009E2BD0" w:rsidRPr="009E2BD0">
        <w:t xml:space="preserve"> because a large synchronous unit can suddenly trip, and non-dispatchable resources do not create that need.</w:t>
      </w:r>
    </w:p>
    <w:p w14:paraId="6090C657" w14:textId="5104BFD7" w:rsidR="009E2BD0" w:rsidRPr="009E2BD0" w:rsidRDefault="009E2BD0" w:rsidP="00960075">
      <w:pPr>
        <w:ind w:left="1980"/>
      </w:pPr>
      <w:r w:rsidRPr="009E2BD0">
        <w:t xml:space="preserve">Inertia affects the quantity of RRS, not the cause of it: lower inertia makes a given loss produce a faster, deeper frequency decline, </w:t>
      </w:r>
      <w:r w:rsidRPr="009E2BD0">
        <w:lastRenderedPageBreak/>
        <w:t>raising how much reserve is needed — but not whether it is needed. On a cost-causation basis, RRS is therefore allocated to the dispatchable category.</w:t>
      </w:r>
      <w:r w:rsidR="00CB6C86">
        <w:t xml:space="preserve"> </w:t>
      </w:r>
      <w:r w:rsidR="005E3C00" w:rsidRPr="005E3C00">
        <w:t>That direction is correct, though a sharper allocation may be to synchronous dispatchable resources specifically</w:t>
      </w:r>
      <w:r w:rsidR="001318E9">
        <w:t>,</w:t>
      </w:r>
      <w:r w:rsidR="00707CE6">
        <w:t xml:space="preserve"> this is because</w:t>
      </w:r>
      <w:r w:rsidR="005E3C00" w:rsidRPr="005E3C00">
        <w:t xml:space="preserve"> Energy storage, though dispatchable, is inverter-based like wind and solar, so it may not present that contingency. ERCOT is continuing to evaluate this.</w:t>
      </w:r>
    </w:p>
    <w:p w14:paraId="14354B0E" w14:textId="77777777" w:rsidR="009849A9" w:rsidRPr="00CB47E6" w:rsidRDefault="009849A9" w:rsidP="00E71F5B">
      <w:pPr>
        <w:pStyle w:val="ListParagraph"/>
        <w:ind w:left="2160"/>
      </w:pPr>
    </w:p>
    <w:p w14:paraId="05096959" w14:textId="77777777" w:rsidR="00CB47E6" w:rsidRDefault="00CB47E6" w:rsidP="00CB47E6">
      <w:pPr>
        <w:pStyle w:val="ListParagraph"/>
        <w:numPr>
          <w:ilvl w:val="0"/>
          <w:numId w:val="4"/>
        </w:numPr>
      </w:pPr>
      <w:r w:rsidRPr="00CB47E6">
        <w:t xml:space="preserve">We understand that this is a </w:t>
      </w:r>
      <w:proofErr w:type="spellStart"/>
      <w:r w:rsidRPr="00CB47E6">
        <w:t>backcast</w:t>
      </w:r>
      <w:proofErr w:type="spellEnd"/>
      <w:r w:rsidRPr="00CB47E6">
        <w:t xml:space="preserve">, but we imagine if something like this moves forward, the allocation share would need to shift to large loads. We </w:t>
      </w:r>
      <w:proofErr w:type="gramStart"/>
      <w:r w:rsidRPr="00CB47E6">
        <w:t>would expect</w:t>
      </w:r>
      <w:proofErr w:type="gramEnd"/>
      <w:r w:rsidRPr="00CB47E6">
        <w:t xml:space="preserve"> the procurement quantities </w:t>
      </w:r>
      <w:proofErr w:type="gramStart"/>
      <w:r w:rsidRPr="00CB47E6">
        <w:t>would change</w:t>
      </w:r>
      <w:proofErr w:type="gramEnd"/>
      <w:r w:rsidRPr="00CB47E6">
        <w:t xml:space="preserve"> to respect this new level of risk and that the allocation methodology would account for those risks appropriately.</w:t>
      </w:r>
    </w:p>
    <w:p w14:paraId="4047F535" w14:textId="7A4DC416" w:rsidR="00F23E98" w:rsidRDefault="00CB47E6" w:rsidP="00F23E98">
      <w:pPr>
        <w:pStyle w:val="ListParagraph"/>
        <w:numPr>
          <w:ilvl w:val="1"/>
          <w:numId w:val="4"/>
        </w:numPr>
      </w:pPr>
      <w:r w:rsidRPr="00CB47E6">
        <w:t xml:space="preserve">How do ESRs shake out in the analysis if they are charging vs. deploying? We </w:t>
      </w:r>
      <w:proofErr w:type="gramStart"/>
      <w:r w:rsidRPr="00CB47E6">
        <w:t>would assume</w:t>
      </w:r>
      <w:proofErr w:type="gramEnd"/>
      <w:r w:rsidRPr="00CB47E6">
        <w:t xml:space="preserve"> that they would fall </w:t>
      </w:r>
      <w:proofErr w:type="gramStart"/>
      <w:r w:rsidRPr="00CB47E6">
        <w:t>in</w:t>
      </w:r>
      <w:proofErr w:type="gramEnd"/>
      <w:r w:rsidRPr="00CB47E6">
        <w:t xml:space="preserve"> the dispatchable bucket when deploying, and the load bucket when charging, is this correct?</w:t>
      </w:r>
    </w:p>
    <w:p w14:paraId="548DFC6B" w14:textId="369A5F76" w:rsidR="0086055F" w:rsidRDefault="002E189D" w:rsidP="0086055F">
      <w:pPr>
        <w:pStyle w:val="ListParagraph"/>
        <w:ind w:left="1440"/>
      </w:pPr>
      <w:r w:rsidRPr="00F23E98">
        <w:rPr>
          <w:b/>
          <w:bCs/>
        </w:rPr>
        <w:t>ERCOT Response:</w:t>
      </w:r>
      <w:r>
        <w:t xml:space="preserve"> ESRs are treated as dispatchable regardless of charging or discharging. </w:t>
      </w:r>
    </w:p>
    <w:p w14:paraId="6DE142D9" w14:textId="77777777" w:rsidR="0005258B" w:rsidRDefault="0005258B" w:rsidP="00013BC7">
      <w:pPr>
        <w:pStyle w:val="ListParagraph"/>
        <w:ind w:left="1440"/>
      </w:pPr>
    </w:p>
    <w:p w14:paraId="7175919B" w14:textId="77777777" w:rsidR="009E550E" w:rsidRDefault="00CB47E6" w:rsidP="009E550E">
      <w:pPr>
        <w:pStyle w:val="ListParagraph"/>
        <w:numPr>
          <w:ilvl w:val="1"/>
          <w:numId w:val="4"/>
        </w:numPr>
      </w:pPr>
      <w:r w:rsidRPr="00CB47E6">
        <w:t>For ECRS, how was the split between ND and Load arrived at?</w:t>
      </w:r>
    </w:p>
    <w:p w14:paraId="0D7F00EC" w14:textId="4B03F25C" w:rsidR="00B127F8" w:rsidRDefault="00B127F8" w:rsidP="00013BC7">
      <w:pPr>
        <w:pStyle w:val="ListParagraph"/>
        <w:ind w:left="1440"/>
      </w:pPr>
      <w:r w:rsidRPr="00013BC7">
        <w:rPr>
          <w:b/>
        </w:rPr>
        <w:t>ERCOT Response:</w:t>
      </w:r>
      <w:r>
        <w:t xml:space="preserve"> </w:t>
      </w:r>
      <w:r w:rsidR="000230D2">
        <w:t>The split utiliz</w:t>
      </w:r>
      <w:r w:rsidR="000211EA">
        <w:t>es</w:t>
      </w:r>
      <w:r w:rsidR="000230D2">
        <w:t xml:space="preserve"> the 30-</w:t>
      </w:r>
      <w:proofErr w:type="gramStart"/>
      <w:r w:rsidR="000230D2">
        <w:t>minute ahead</w:t>
      </w:r>
      <w:proofErr w:type="gramEnd"/>
      <w:r w:rsidR="000230D2">
        <w:t xml:space="preserve"> forecast error for load, wind, and solar</w:t>
      </w:r>
      <w:r w:rsidR="00DE25A6">
        <w:t xml:space="preserve">. </w:t>
      </w:r>
      <w:r w:rsidR="003C4A62">
        <w:t>This is</w:t>
      </w:r>
      <w:r w:rsidR="0085108F">
        <w:t xml:space="preserve"> </w:t>
      </w:r>
      <w:r w:rsidR="006652DE">
        <w:t xml:space="preserve">then </w:t>
      </w:r>
      <w:r w:rsidR="00417B64" w:rsidRPr="00417B64">
        <w:t xml:space="preserve">apportioned </w:t>
      </w:r>
      <w:r w:rsidR="006652DE">
        <w:t>appropriately</w:t>
      </w:r>
      <w:r w:rsidR="00417B64" w:rsidRPr="00417B64">
        <w:t xml:space="preserve"> to </w:t>
      </w:r>
      <w:r w:rsidR="006652DE">
        <w:t>necessary</w:t>
      </w:r>
      <w:r w:rsidR="00417B64" w:rsidRPr="00417B64">
        <w:t xml:space="preserve"> component's share of </w:t>
      </w:r>
      <w:r w:rsidR="006652DE">
        <w:t>the total</w:t>
      </w:r>
      <w:r w:rsidR="00417B64" w:rsidRPr="00417B64">
        <w:t xml:space="preserve"> forecast error</w:t>
      </w:r>
      <w:r w:rsidR="006D2ED1">
        <w:t>.</w:t>
      </w:r>
    </w:p>
    <w:p w14:paraId="2B88CE2F" w14:textId="76C65957" w:rsidR="006D2ED1" w:rsidRPr="006D2ED1" w:rsidRDefault="006D2ED1" w:rsidP="006D2ED1">
      <w:pPr>
        <w:ind w:left="1080"/>
        <w:rPr>
          <w:rFonts w:eastAsiaTheme="minorEastAsia"/>
          <w:sz w:val="22"/>
          <w:szCs w:val="22"/>
        </w:rPr>
      </w:pPr>
      <m:oMathPara>
        <m:oMath>
          <m:r>
            <w:rPr>
              <w:rFonts w:ascii="Cambria Math" w:hAnsi="Cambria Math"/>
              <w:sz w:val="22"/>
              <w:szCs w:val="22"/>
            </w:rPr>
            <m:t>Load Ratio=</m:t>
          </m:r>
          <m:f>
            <m:fPr>
              <m:ctrlPr>
                <w:rPr>
                  <w:rFonts w:ascii="Cambria Math" w:hAnsi="Cambria Math"/>
                  <w:i/>
                  <w:sz w:val="22"/>
                  <w:szCs w:val="22"/>
                </w:rPr>
              </m:ctrlPr>
            </m:fPr>
            <m:num>
              <m:r>
                <w:rPr>
                  <w:rFonts w:ascii="Cambria Math" w:hAnsi="Cambria Math"/>
                  <w:sz w:val="22"/>
                  <w:szCs w:val="22"/>
                </w:rPr>
                <m:t>Load Forecast Ratio</m:t>
              </m:r>
            </m:num>
            <m:den>
              <m:r>
                <w:rPr>
                  <w:rFonts w:ascii="Cambria Math" w:hAnsi="Cambria Math"/>
                  <w:sz w:val="22"/>
                  <w:szCs w:val="22"/>
                </w:rPr>
                <m:t>Wind Forecast Error+Solar Forecast Error+Load Forecast Error</m:t>
              </m:r>
            </m:den>
          </m:f>
        </m:oMath>
      </m:oMathPara>
    </w:p>
    <w:p w14:paraId="75C3F973" w14:textId="188B4966" w:rsidR="006D2ED1" w:rsidRDefault="006D2ED1" w:rsidP="006D2ED1">
      <w:pPr>
        <w:ind w:left="1080"/>
      </w:pPr>
      <m:oMathPara>
        <m:oMath>
          <m:r>
            <w:rPr>
              <w:rFonts w:ascii="Cambria Math" w:hAnsi="Cambria Math"/>
              <w:sz w:val="22"/>
              <w:szCs w:val="22"/>
            </w:rPr>
            <m:t>ND Ratio=</m:t>
          </m:r>
          <m:f>
            <m:fPr>
              <m:ctrlPr>
                <w:rPr>
                  <w:rFonts w:ascii="Cambria Math" w:hAnsi="Cambria Math"/>
                  <w:i/>
                  <w:sz w:val="22"/>
                  <w:szCs w:val="22"/>
                </w:rPr>
              </m:ctrlPr>
            </m:fPr>
            <m:num>
              <m:r>
                <w:rPr>
                  <w:rFonts w:ascii="Cambria Math" w:hAnsi="Cambria Math"/>
                  <w:sz w:val="22"/>
                  <w:szCs w:val="22"/>
                </w:rPr>
                <m:t>Wind Forecast Error+Solar Forecast Error</m:t>
              </m:r>
            </m:num>
            <m:den>
              <m:r>
                <w:rPr>
                  <w:rFonts w:ascii="Cambria Math" w:hAnsi="Cambria Math"/>
                  <w:sz w:val="22"/>
                  <w:szCs w:val="22"/>
                </w:rPr>
                <m:t>Wind Forecast Error+Solar Forecast Error+Load Forecast Error</m:t>
              </m:r>
            </m:den>
          </m:f>
        </m:oMath>
      </m:oMathPara>
    </w:p>
    <w:p w14:paraId="0E050146" w14:textId="77777777" w:rsidR="006D2ED1" w:rsidRDefault="006D2ED1" w:rsidP="00013BC7">
      <w:pPr>
        <w:ind w:left="1080"/>
      </w:pPr>
    </w:p>
    <w:p w14:paraId="261215CE" w14:textId="77777777" w:rsidR="006D2ED1" w:rsidRDefault="006D2ED1" w:rsidP="00013BC7">
      <w:pPr>
        <w:pStyle w:val="ListParagraph"/>
        <w:ind w:left="1440"/>
      </w:pPr>
    </w:p>
    <w:p w14:paraId="2A9CB96F" w14:textId="77777777" w:rsidR="00CB47E6" w:rsidRDefault="00CB47E6" w:rsidP="00CB47E6">
      <w:pPr>
        <w:pStyle w:val="ListParagraph"/>
        <w:numPr>
          <w:ilvl w:val="1"/>
          <w:numId w:val="4"/>
        </w:numPr>
      </w:pPr>
      <w:r w:rsidRPr="00CB47E6">
        <w:t>Did the allocation focus on charging the ND resources based on the HSL difference (forecasted vs. actual)? How was the allocation share determined for each Load QSE?</w:t>
      </w:r>
    </w:p>
    <w:p w14:paraId="1AA042FB" w14:textId="50E030AB" w:rsidR="002C4476" w:rsidRDefault="002C4476" w:rsidP="002C4476">
      <w:pPr>
        <w:pStyle w:val="ListParagraph"/>
        <w:ind w:left="1440"/>
      </w:pPr>
      <w:r w:rsidRPr="007464B1">
        <w:rPr>
          <w:b/>
        </w:rPr>
        <w:t>ERCOT Response:</w:t>
      </w:r>
      <w:r w:rsidR="00E02ABC">
        <w:t xml:space="preserve"> </w:t>
      </w:r>
      <w:r w:rsidR="00E21909">
        <w:t>Yes, a</w:t>
      </w:r>
      <w:r w:rsidR="00E02ABC">
        <w:t xml:space="preserve">llocation ratios were </w:t>
      </w:r>
      <w:r w:rsidR="00E21909">
        <w:t xml:space="preserve">determined </w:t>
      </w:r>
      <w:r w:rsidR="0045586B">
        <w:t>from</w:t>
      </w:r>
      <w:r w:rsidR="00E21909">
        <w:t xml:space="preserve"> forecast error. </w:t>
      </w:r>
    </w:p>
    <w:p w14:paraId="3FDC4E4C" w14:textId="77777777" w:rsidR="002C4476" w:rsidRDefault="002C4476" w:rsidP="005A082D">
      <w:pPr>
        <w:pStyle w:val="ListParagraph"/>
        <w:ind w:left="1440"/>
      </w:pPr>
    </w:p>
    <w:p w14:paraId="53870347" w14:textId="48BAD207" w:rsidR="00CB47E6" w:rsidRDefault="00CB47E6" w:rsidP="00CB47E6">
      <w:pPr>
        <w:pStyle w:val="ListParagraph"/>
        <w:numPr>
          <w:ilvl w:val="1"/>
          <w:numId w:val="4"/>
        </w:numPr>
      </w:pPr>
      <w:r w:rsidRPr="00CB47E6">
        <w:t>Did the allocation consider (slide 6 method B): 64% of the procurement quantities were for ND risks, and 36% of the procurement quantities were for Load risks?</w:t>
      </w:r>
    </w:p>
    <w:p w14:paraId="7C1AE0E7" w14:textId="161B785C" w:rsidR="002C4476" w:rsidRDefault="002C4476" w:rsidP="002C4476">
      <w:pPr>
        <w:pStyle w:val="ListParagraph"/>
        <w:ind w:left="1440"/>
      </w:pPr>
      <w:r w:rsidRPr="007464B1">
        <w:rPr>
          <w:b/>
        </w:rPr>
        <w:lastRenderedPageBreak/>
        <w:t>ERCOT Response:</w:t>
      </w:r>
      <w:r w:rsidR="00455BBE">
        <w:t xml:space="preserve"> </w:t>
      </w:r>
      <w:r w:rsidR="0062189B">
        <w:t>Under</w:t>
      </w:r>
      <w:r w:rsidR="00E7446B">
        <w:t xml:space="preserve"> Method B ECRS allocation</w:t>
      </w:r>
      <w:r w:rsidR="00455BBE">
        <w:t>, 64% of the cost was allocated to ND and 36% of the cost was allocated to Load</w:t>
      </w:r>
      <w:r w:rsidR="00841B0F">
        <w:t xml:space="preserve"> followin</w:t>
      </w:r>
      <w:r w:rsidR="004D7EEA">
        <w:t xml:space="preserve">g </w:t>
      </w:r>
      <w:r w:rsidR="003945A1">
        <w:t xml:space="preserve">the ratio calculations described </w:t>
      </w:r>
      <w:r w:rsidR="004D7EEA">
        <w:t xml:space="preserve">in </w:t>
      </w:r>
      <w:r w:rsidR="003945A1">
        <w:t xml:space="preserve">(b) above. </w:t>
      </w:r>
    </w:p>
    <w:p w14:paraId="59829CD3" w14:textId="77777777" w:rsidR="00413681" w:rsidRPr="00CB47E6" w:rsidRDefault="00413681" w:rsidP="007464B1">
      <w:pPr>
        <w:pStyle w:val="ListParagraph"/>
        <w:ind w:left="1440"/>
      </w:pPr>
    </w:p>
    <w:p w14:paraId="581819E3" w14:textId="77777777" w:rsidR="00CB47E6" w:rsidRDefault="00CB47E6" w:rsidP="00CB47E6">
      <w:pPr>
        <w:pStyle w:val="ListParagraph"/>
        <w:numPr>
          <w:ilvl w:val="0"/>
          <w:numId w:val="4"/>
        </w:numPr>
      </w:pPr>
      <w:r w:rsidRPr="00CB47E6">
        <w:t>For the Estimating Secondary Effects portion of the analysis:</w:t>
      </w:r>
    </w:p>
    <w:p w14:paraId="13688D3B" w14:textId="556F6EF4" w:rsidR="00C77AEA" w:rsidRDefault="00CB47E6" w:rsidP="00C77AEA">
      <w:pPr>
        <w:pStyle w:val="ListParagraph"/>
        <w:numPr>
          <w:ilvl w:val="1"/>
          <w:numId w:val="4"/>
        </w:numPr>
      </w:pPr>
      <w:r w:rsidRPr="00CB47E6">
        <w:t>How would allocating costs to dispatchable resources negatively affect the investment environment for these technologies?</w:t>
      </w:r>
    </w:p>
    <w:p w14:paraId="325F4BF9" w14:textId="316DC408" w:rsidR="007122D6" w:rsidRDefault="00413681" w:rsidP="007464B1">
      <w:pPr>
        <w:pStyle w:val="ListParagraph"/>
        <w:ind w:left="1440"/>
      </w:pPr>
      <w:r w:rsidRPr="007464B1">
        <w:rPr>
          <w:b/>
        </w:rPr>
        <w:t>ERCOT Response:</w:t>
      </w:r>
      <w:r>
        <w:t xml:space="preserve"> Findings for this </w:t>
      </w:r>
      <w:r w:rsidR="00636983">
        <w:t xml:space="preserve">impact </w:t>
      </w:r>
      <w:r>
        <w:t xml:space="preserve">are included in the report. </w:t>
      </w:r>
    </w:p>
    <w:p w14:paraId="3FC24AF4" w14:textId="77777777" w:rsidR="00C77AEA" w:rsidRDefault="00C77AEA" w:rsidP="00C77AEA"/>
    <w:p w14:paraId="7BF3F039" w14:textId="75C38692" w:rsidR="00C77AEA" w:rsidRDefault="00C77AEA" w:rsidP="00C77AEA">
      <w:pPr>
        <w:pStyle w:val="Heading2"/>
      </w:pPr>
      <w:r>
        <w:t>Vistra</w:t>
      </w:r>
    </w:p>
    <w:p w14:paraId="5E70D51B" w14:textId="77777777" w:rsidR="008B13D1" w:rsidRDefault="008B13D1" w:rsidP="008B13D1">
      <w:pPr>
        <w:pStyle w:val="ListParagraph"/>
        <w:numPr>
          <w:ilvl w:val="0"/>
          <w:numId w:val="6"/>
        </w:numPr>
      </w:pPr>
      <w:r w:rsidRPr="008B13D1">
        <w:t>Vistra is concerned that the study framework may significantly understate the longer-term</w:t>
      </w:r>
      <w:r>
        <w:t xml:space="preserve"> </w:t>
      </w:r>
      <w:r w:rsidRPr="008B13D1">
        <w:t>structural impacts associated with shifting ancillary service and reliability service costs to</w:t>
      </w:r>
      <w:r>
        <w:t xml:space="preserve"> </w:t>
      </w:r>
      <w:r w:rsidRPr="008B13D1">
        <w:t>generators. While the study appears focused primarily on near-term wholesale market</w:t>
      </w:r>
      <w:r>
        <w:t xml:space="preserve"> </w:t>
      </w:r>
      <w:r w:rsidRPr="008B13D1">
        <w:t>impacts, the proposal could materially a</w:t>
      </w:r>
      <w:r w:rsidRPr="007A7BCE">
        <w:t>ff</w:t>
      </w:r>
      <w:r w:rsidRPr="008B13D1">
        <w:t>ect decisions regarding investment in existing</w:t>
      </w:r>
      <w:r>
        <w:t xml:space="preserve"> </w:t>
      </w:r>
      <w:r w:rsidRPr="008B13D1">
        <w:t xml:space="preserve">and future </w:t>
      </w:r>
      <w:proofErr w:type="gramStart"/>
      <w:r w:rsidRPr="008B13D1">
        <w:t>generation</w:t>
      </w:r>
      <w:proofErr w:type="gramEnd"/>
      <w:r w:rsidRPr="008B13D1">
        <w:t>, firming strategies, contracting structures, and in turn the overall</w:t>
      </w:r>
      <w:r>
        <w:t xml:space="preserve"> </w:t>
      </w:r>
      <w:r w:rsidRPr="008B13D1">
        <w:t>resource mix in ERCO</w:t>
      </w:r>
      <w:r>
        <w:t>T.</w:t>
      </w:r>
    </w:p>
    <w:p w14:paraId="509FF967" w14:textId="2A31BD60" w:rsidR="004275D3" w:rsidRDefault="000D4E75" w:rsidP="002B685F">
      <w:pPr>
        <w:pStyle w:val="ListParagraph"/>
      </w:pPr>
      <w:r w:rsidRPr="002B685F">
        <w:rPr>
          <w:b/>
        </w:rPr>
        <w:t>ERCOT Response:</w:t>
      </w:r>
      <w:r>
        <w:t xml:space="preserve"> </w:t>
      </w:r>
      <w:r w:rsidR="00205D89">
        <w:t>The report includes</w:t>
      </w:r>
      <w:r w:rsidR="00844155">
        <w:t xml:space="preserve"> some</w:t>
      </w:r>
      <w:r w:rsidR="00205D89">
        <w:t xml:space="preserve"> discussion of long-term effects and possible outcomes.</w:t>
      </w:r>
    </w:p>
    <w:p w14:paraId="191E401C" w14:textId="77777777" w:rsidR="00CD10B7" w:rsidRDefault="00CD10B7" w:rsidP="002B685F">
      <w:pPr>
        <w:pStyle w:val="ListParagraph"/>
      </w:pPr>
    </w:p>
    <w:p w14:paraId="62245518" w14:textId="0B8219A3" w:rsidR="008B13D1" w:rsidRDefault="008B13D1" w:rsidP="00D95048">
      <w:pPr>
        <w:pStyle w:val="ListParagraph"/>
        <w:numPr>
          <w:ilvl w:val="0"/>
          <w:numId w:val="6"/>
        </w:numPr>
        <w:spacing w:after="0"/>
      </w:pPr>
      <w:proofErr w:type="gramStart"/>
      <w:r>
        <w:t xml:space="preserve">In </w:t>
      </w:r>
      <w:r w:rsidRPr="008B13D1">
        <w:t>particular, ERCOT</w:t>
      </w:r>
      <w:proofErr w:type="gramEnd"/>
      <w:r w:rsidRPr="008B13D1">
        <w:t xml:space="preserve"> should be focused on incentivizing generation investment and</w:t>
      </w:r>
      <w:r>
        <w:t xml:space="preserve"> </w:t>
      </w:r>
      <w:r w:rsidRPr="008B13D1">
        <w:t>retention, not implementing mechanisms that reduce revenues to or introduce new costs</w:t>
      </w:r>
      <w:r>
        <w:t xml:space="preserve"> </w:t>
      </w:r>
      <w:r w:rsidRPr="008B13D1">
        <w:t>for the very resources policymakers have repeatedly identified as necessary for reliability.</w:t>
      </w:r>
    </w:p>
    <w:p w14:paraId="2083C07D" w14:textId="5EC40B81" w:rsidR="00CF2F64" w:rsidRDefault="001B45AF" w:rsidP="002B685F">
      <w:pPr>
        <w:ind w:left="720"/>
      </w:pPr>
      <w:r w:rsidRPr="002B685F">
        <w:rPr>
          <w:b/>
        </w:rPr>
        <w:t>ERCOT Response:</w:t>
      </w:r>
      <w:r>
        <w:t xml:space="preserve"> </w:t>
      </w:r>
      <w:r w:rsidR="00434264">
        <w:t xml:space="preserve">The analysis </w:t>
      </w:r>
      <w:r w:rsidR="00DB3880">
        <w:t xml:space="preserve">and discussion in the report </w:t>
      </w:r>
      <w:r w:rsidR="00960075">
        <w:t>recognizes</w:t>
      </w:r>
      <w:r w:rsidR="00510626">
        <w:t xml:space="preserve"> the </w:t>
      </w:r>
      <w:r w:rsidR="00DF572A">
        <w:t xml:space="preserve">new cost burden which </w:t>
      </w:r>
      <w:r w:rsidR="00DB3880">
        <w:t>would be</w:t>
      </w:r>
      <w:r w:rsidR="00DF572A">
        <w:t xml:space="preserve"> </w:t>
      </w:r>
      <w:r w:rsidR="5CB79F90">
        <w:t xml:space="preserve">borne by </w:t>
      </w:r>
      <w:r w:rsidR="00DB3880">
        <w:t>all generation resources.</w:t>
      </w:r>
    </w:p>
    <w:p w14:paraId="3215E790" w14:textId="77777777" w:rsidR="002B685F" w:rsidRDefault="002B685F" w:rsidP="00D95048">
      <w:pPr>
        <w:pStyle w:val="ListParagraph"/>
      </w:pPr>
    </w:p>
    <w:p w14:paraId="727F84CD" w14:textId="77777777" w:rsidR="00D530C9" w:rsidRDefault="008B13D1" w:rsidP="00D95048">
      <w:pPr>
        <w:pStyle w:val="ListParagraph"/>
        <w:numPr>
          <w:ilvl w:val="0"/>
          <w:numId w:val="6"/>
        </w:numPr>
        <w:spacing w:after="0"/>
      </w:pPr>
      <w:r w:rsidRPr="008B13D1">
        <w:t>Further, many ancillary and reliability services already address operational risks and</w:t>
      </w:r>
      <w:r>
        <w:t xml:space="preserve"> </w:t>
      </w:r>
      <w:r w:rsidRPr="008B13D1">
        <w:t>uncertainties that are not caused by dispatchable generators. For example, Responsive</w:t>
      </w:r>
      <w:r>
        <w:t xml:space="preserve"> </w:t>
      </w:r>
      <w:r w:rsidRPr="008B13D1">
        <w:t>Reserve Service (RRS) exists in part to address large unit contingencies, and generators</w:t>
      </w:r>
      <w:r>
        <w:t xml:space="preserve"> </w:t>
      </w:r>
      <w:r w:rsidRPr="008B13D1">
        <w:t>already bear the real-time imbalance and outage costs associated with forced outages and</w:t>
      </w:r>
      <w:r>
        <w:t xml:space="preserve"> </w:t>
      </w:r>
      <w:r w:rsidRPr="008B13D1">
        <w:t>operational performance. Allocating</w:t>
      </w:r>
      <w:r>
        <w:t xml:space="preserve"> </w:t>
      </w:r>
      <w:r w:rsidRPr="008B13D1">
        <w:t>RRS to dispatchable generators will not meaningfully</w:t>
      </w:r>
      <w:r>
        <w:t xml:space="preserve"> </w:t>
      </w:r>
      <w:r w:rsidRPr="008B13D1">
        <w:t>change the generators’ existing incentives to operate and perform.</w:t>
      </w:r>
    </w:p>
    <w:p w14:paraId="2EB5A90C" w14:textId="44F4016F" w:rsidR="00601398" w:rsidRDefault="00CD10B7" w:rsidP="000972B6">
      <w:pPr>
        <w:pStyle w:val="ListParagraph"/>
        <w:autoSpaceDE w:val="0"/>
        <w:autoSpaceDN w:val="0"/>
        <w:adjustRightInd w:val="0"/>
        <w:spacing w:after="0" w:line="240" w:lineRule="auto"/>
      </w:pPr>
      <w:r w:rsidRPr="000972B6">
        <w:rPr>
          <w:b/>
          <w:bCs/>
        </w:rPr>
        <w:t>ERCOT Response:</w:t>
      </w:r>
      <w:r>
        <w:t xml:space="preserve"> </w:t>
      </w:r>
      <w:r w:rsidR="00B72DA3" w:rsidRPr="00B72DA3">
        <w:t>On the point that RRS addresses risks not caused by dispatchable resources:</w:t>
      </w:r>
      <w:r w:rsidR="00B72DA3">
        <w:t xml:space="preserve"> </w:t>
      </w:r>
      <w:r>
        <w:t>See response to LCRA’s 1 (c)</w:t>
      </w:r>
      <w:r w:rsidR="006E1F11" w:rsidRPr="006E1F11">
        <w:t xml:space="preserve">. On incentives: under Methods A and B the RRS allocation is a fixed cost based on the resource-loss contingency, not on output or performance, so it does not by itself change a generator's incentives to operate and perform — those are already driven by </w:t>
      </w:r>
      <w:r w:rsidR="006E1F11" w:rsidRPr="006E1F11">
        <w:lastRenderedPageBreak/>
        <w:t>existing imbalance and outage costs. The study notes this under the maintenance-practices item.</w:t>
      </w:r>
    </w:p>
    <w:p w14:paraId="0B1A26EE" w14:textId="77777777" w:rsidR="000972B6" w:rsidRDefault="000972B6" w:rsidP="00D95048">
      <w:pPr>
        <w:pStyle w:val="ListParagraph"/>
      </w:pPr>
    </w:p>
    <w:p w14:paraId="1189F798" w14:textId="14C7BBC3" w:rsidR="008B13D1" w:rsidRPr="00C77AEA" w:rsidRDefault="008B13D1" w:rsidP="00D530C9">
      <w:pPr>
        <w:pStyle w:val="ListParagraph"/>
        <w:numPr>
          <w:ilvl w:val="0"/>
          <w:numId w:val="6"/>
        </w:numPr>
        <w:autoSpaceDE w:val="0"/>
        <w:autoSpaceDN w:val="0"/>
        <w:adjustRightInd w:val="0"/>
        <w:spacing w:after="0" w:line="240" w:lineRule="auto"/>
      </w:pPr>
      <w:r w:rsidRPr="008B13D1">
        <w:t>Similarly, a significant portion of ancillary service procurement today</w:t>
      </w:r>
      <w:r>
        <w:t xml:space="preserve"> </w:t>
      </w:r>
      <w:r w:rsidRPr="008B13D1">
        <w:t>is driven by net load uncertainty, forecast error, intermittency, and variability associated</w:t>
      </w:r>
      <w:r>
        <w:t xml:space="preserve"> </w:t>
      </w:r>
      <w:r w:rsidRPr="008B13D1">
        <w:t>with load and intermittent generation resources. These operational needs increasingly</w:t>
      </w:r>
      <w:r>
        <w:t xml:space="preserve"> </w:t>
      </w:r>
      <w:r w:rsidRPr="008B13D1">
        <w:t>reflect the changing resource mix and evolving load characteristics on the system rather</w:t>
      </w:r>
      <w:r>
        <w:t xml:space="preserve"> </w:t>
      </w:r>
      <w:r w:rsidRPr="008B13D1">
        <w:t>than in</w:t>
      </w:r>
      <w:r>
        <w:t>ef</w:t>
      </w:r>
      <w:r w:rsidRPr="008B13D1">
        <w:t>ficiencies or cost causation attributable to dispatchable thermal generation.</w:t>
      </w:r>
    </w:p>
    <w:p w14:paraId="76FD3AA4" w14:textId="77777777" w:rsidR="00D95048" w:rsidRPr="00C77AEA" w:rsidRDefault="00D95048" w:rsidP="00D95048">
      <w:pPr>
        <w:pStyle w:val="ListParagraph"/>
        <w:autoSpaceDE w:val="0"/>
        <w:autoSpaceDN w:val="0"/>
        <w:adjustRightInd w:val="0"/>
        <w:spacing w:after="0" w:line="240" w:lineRule="auto"/>
      </w:pPr>
    </w:p>
    <w:p w14:paraId="0203F231" w14:textId="0695712A" w:rsidR="006B4E3F" w:rsidRDefault="00E17AE6" w:rsidP="006B4E3F">
      <w:pPr>
        <w:pStyle w:val="Heading2"/>
      </w:pPr>
      <w:r>
        <w:t>IM</w:t>
      </w:r>
      <w:r w:rsidR="001A24FD">
        <w:t>M</w:t>
      </w:r>
      <w:r w:rsidR="00367FD2">
        <w:t xml:space="preserve"> </w:t>
      </w:r>
      <w:r w:rsidR="00745C3D">
        <w:t>Commentary</w:t>
      </w:r>
    </w:p>
    <w:p w14:paraId="207400C3" w14:textId="77777777" w:rsidR="00075F7A" w:rsidRPr="00075F7A" w:rsidRDefault="00075F7A" w:rsidP="00075F7A">
      <w:pPr>
        <w:pStyle w:val="ListParagraph"/>
        <w:numPr>
          <w:ilvl w:val="0"/>
          <w:numId w:val="9"/>
        </w:numPr>
      </w:pPr>
      <w:r w:rsidRPr="00075F7A">
        <w:t>"Method B makes the most sense to us, but Method A is close enough."</w:t>
      </w:r>
    </w:p>
    <w:p w14:paraId="1D4E0891" w14:textId="77777777" w:rsidR="00075F7A" w:rsidRPr="00075F7A" w:rsidRDefault="00075F7A" w:rsidP="00075F7A">
      <w:pPr>
        <w:pStyle w:val="ListParagraph"/>
        <w:numPr>
          <w:ilvl w:val="0"/>
          <w:numId w:val="9"/>
        </w:numPr>
      </w:pPr>
      <w:r w:rsidRPr="00075F7A">
        <w:t>Method C rationale unclear; secondary-effects approach "look[s] reasonable."</w:t>
      </w:r>
    </w:p>
    <w:p w14:paraId="10850BA4" w14:textId="77777777" w:rsidR="007F38E0" w:rsidRDefault="00075F7A" w:rsidP="00D95048">
      <w:pPr>
        <w:pStyle w:val="ListParagraph"/>
        <w:numPr>
          <w:ilvl w:val="0"/>
          <w:numId w:val="9"/>
        </w:numPr>
        <w:spacing w:after="0"/>
      </w:pPr>
      <w:r w:rsidRPr="00075F7A">
        <w:t xml:space="preserve">Performance-based option: track forced outages for </w:t>
      </w:r>
      <w:proofErr w:type="gramStart"/>
      <w:r w:rsidRPr="00075F7A">
        <w:t>thermal</w:t>
      </w:r>
      <w:proofErr w:type="gramEnd"/>
      <w:r w:rsidRPr="00075F7A">
        <w:t xml:space="preserve"> on a QSE/DME basis over several years to set RRS responsibility; similar tracking for renewables and regulation.</w:t>
      </w:r>
      <w:r w:rsidR="007F38E0">
        <w:t xml:space="preserve"> </w:t>
      </w:r>
    </w:p>
    <w:p w14:paraId="6B6EDE0D" w14:textId="591EE005" w:rsidR="00295D86" w:rsidRDefault="007F38E0" w:rsidP="00E97A53">
      <w:pPr>
        <w:ind w:left="720"/>
      </w:pPr>
      <w:r w:rsidRPr="00E97A53">
        <w:rPr>
          <w:b/>
          <w:bCs/>
        </w:rPr>
        <w:t>ERCOT Response:</w:t>
      </w:r>
      <w:r>
        <w:t xml:space="preserve"> </w:t>
      </w:r>
      <w:r w:rsidRPr="007F38E0">
        <w:t>The performance-based approach is an alternative allocation methodology outside the three-category framework defined for this study; it could be considered in future methodology work.</w:t>
      </w:r>
    </w:p>
    <w:p w14:paraId="14C082FA" w14:textId="77777777" w:rsidR="00D95048" w:rsidRDefault="00D95048" w:rsidP="00E97A53">
      <w:pPr>
        <w:ind w:left="720"/>
      </w:pPr>
    </w:p>
    <w:p w14:paraId="44A4CEF6" w14:textId="2B4AB0D6" w:rsidR="00F9073B" w:rsidRDefault="00BE27B6" w:rsidP="00F9073B">
      <w:pPr>
        <w:pStyle w:val="Heading2"/>
      </w:pPr>
      <w:r>
        <w:t>M</w:t>
      </w:r>
      <w:r w:rsidR="00CB5053">
        <w:t>ay 19</w:t>
      </w:r>
      <w:r w:rsidR="00CB5053" w:rsidRPr="00B7298C">
        <w:rPr>
          <w:vertAlign w:val="superscript"/>
        </w:rPr>
        <w:t>t</w:t>
      </w:r>
      <w:r w:rsidR="00B3624C" w:rsidRPr="00B7298C">
        <w:rPr>
          <w:vertAlign w:val="superscript"/>
        </w:rPr>
        <w:t>h</w:t>
      </w:r>
      <w:r w:rsidR="00B3624C">
        <w:t xml:space="preserve"> </w:t>
      </w:r>
      <w:r w:rsidR="006B7AF4">
        <w:t>TAC</w:t>
      </w:r>
      <w:r w:rsidR="00B00C28">
        <w:t xml:space="preserve"> D</w:t>
      </w:r>
      <w:r w:rsidR="00E44FBC">
        <w:t>is</w:t>
      </w:r>
      <w:r w:rsidR="0023610A">
        <w:t>cussion</w:t>
      </w:r>
      <w:r w:rsidR="00A26DB8">
        <w:t xml:space="preserve"> and </w:t>
      </w:r>
      <w:r w:rsidR="00EB017E">
        <w:t>Comments</w:t>
      </w:r>
    </w:p>
    <w:p w14:paraId="2C6B4A69" w14:textId="77777777" w:rsidR="001140B4" w:rsidRDefault="00981B8D" w:rsidP="001140B4">
      <w:pPr>
        <w:pStyle w:val="ListParagraph"/>
        <w:numPr>
          <w:ilvl w:val="0"/>
          <w:numId w:val="10"/>
        </w:numPr>
      </w:pPr>
      <w:r w:rsidRPr="000A7C79">
        <w:rPr>
          <w:b/>
          <w:bCs/>
        </w:rPr>
        <w:t>TIEC:</w:t>
      </w:r>
      <w:r w:rsidRPr="00981B8D">
        <w:t xml:space="preserve"> </w:t>
      </w:r>
      <w:r w:rsidR="00334DB2">
        <w:t>W</w:t>
      </w:r>
      <w:r w:rsidRPr="00981B8D">
        <w:t>hy is RRS allocated entirely to dispatchable rather than across classes?</w:t>
      </w:r>
    </w:p>
    <w:p w14:paraId="2312EB75" w14:textId="7937CB5A" w:rsidR="00EB4F6E" w:rsidRDefault="00EB4F6E" w:rsidP="001140B4">
      <w:pPr>
        <w:pStyle w:val="ListParagraph"/>
      </w:pPr>
      <w:r w:rsidRPr="005B1D5F">
        <w:rPr>
          <w:b/>
        </w:rPr>
        <w:t>ERCOT Response:</w:t>
      </w:r>
      <w:r w:rsidRPr="00EB4F6E">
        <w:t xml:space="preserve"> </w:t>
      </w:r>
      <w:r w:rsidR="007F38E0">
        <w:t>See response to LCRA’s 1 (c).</w:t>
      </w:r>
    </w:p>
    <w:p w14:paraId="18F0F7F2" w14:textId="77777777" w:rsidR="001140B4" w:rsidRPr="00981B8D" w:rsidRDefault="001140B4" w:rsidP="005B1D5F">
      <w:pPr>
        <w:pStyle w:val="ListParagraph"/>
      </w:pPr>
    </w:p>
    <w:p w14:paraId="663D594B" w14:textId="77777777" w:rsidR="001140B4" w:rsidRDefault="00981B8D" w:rsidP="001140B4">
      <w:pPr>
        <w:pStyle w:val="ListParagraph"/>
        <w:numPr>
          <w:ilvl w:val="0"/>
          <w:numId w:val="10"/>
        </w:numPr>
      </w:pPr>
      <w:r w:rsidRPr="000A7C79">
        <w:rPr>
          <w:b/>
          <w:bCs/>
        </w:rPr>
        <w:t>NRG:</w:t>
      </w:r>
      <w:r w:rsidRPr="00981B8D">
        <w:t xml:space="preserve"> ESRs are part of dispatchable; RRS depends on system inertia, not the single largest contingency — should be adjusted in the methodology.</w:t>
      </w:r>
    </w:p>
    <w:p w14:paraId="54B8F53F" w14:textId="662F63B5" w:rsidR="001140B4" w:rsidRDefault="001140B4" w:rsidP="001140B4">
      <w:pPr>
        <w:pStyle w:val="ListParagraph"/>
      </w:pPr>
      <w:r w:rsidRPr="001140B4">
        <w:rPr>
          <w:b/>
          <w:bCs/>
        </w:rPr>
        <w:t>ERCOT Response:</w:t>
      </w:r>
      <w:r w:rsidRPr="00EB4F6E">
        <w:t xml:space="preserve"> </w:t>
      </w:r>
      <w:r w:rsidR="00ED16D3">
        <w:t>See response to LCRA’s 1 (c).</w:t>
      </w:r>
    </w:p>
    <w:p w14:paraId="12858187" w14:textId="77777777" w:rsidR="001140B4" w:rsidRPr="00981B8D" w:rsidRDefault="001140B4" w:rsidP="005B1D5F">
      <w:pPr>
        <w:pStyle w:val="ListParagraph"/>
      </w:pPr>
    </w:p>
    <w:p w14:paraId="400555C5" w14:textId="41EB07ED" w:rsidR="00981B8D" w:rsidRDefault="00981B8D" w:rsidP="00981B8D">
      <w:pPr>
        <w:pStyle w:val="ListParagraph"/>
        <w:numPr>
          <w:ilvl w:val="0"/>
          <w:numId w:val="10"/>
        </w:numPr>
      </w:pPr>
      <w:r w:rsidRPr="2A9C965B">
        <w:rPr>
          <w:b/>
          <w:bCs/>
        </w:rPr>
        <w:t>Engie:</w:t>
      </w:r>
      <w:r>
        <w:t xml:space="preserve"> the alternative-allocation logic isn't fully consistent given ECRS also uses forced-outage rates; how does Method C break </w:t>
      </w:r>
      <w:proofErr w:type="gramStart"/>
      <w:r>
        <w:t>cost down</w:t>
      </w:r>
      <w:proofErr w:type="gramEnd"/>
      <w:r>
        <w:t xml:space="preserve"> by QSE type?</w:t>
      </w:r>
    </w:p>
    <w:p w14:paraId="447C95EA" w14:textId="5AB8F3B4" w:rsidR="00C86DFD" w:rsidRDefault="00805EBE" w:rsidP="00805EBE">
      <w:pPr>
        <w:pStyle w:val="ListParagraph"/>
      </w:pPr>
      <w:r w:rsidRPr="2A9C965B">
        <w:rPr>
          <w:b/>
          <w:bCs/>
        </w:rPr>
        <w:t>ERCOT Response:</w:t>
      </w:r>
      <w:r w:rsidR="006C63D6">
        <w:t xml:space="preserve"> Method C utilizes the RUC Capacity short adjustment period calculations to allocate the </w:t>
      </w:r>
      <w:r w:rsidR="00BD520E">
        <w:t>AS+RS costs</w:t>
      </w:r>
      <w:r w:rsidR="006348C8">
        <w:t xml:space="preserve"> to QSEs that </w:t>
      </w:r>
      <w:r w:rsidR="006F2109">
        <w:t>are</w:t>
      </w:r>
      <w:r w:rsidR="006E725F">
        <w:t xml:space="preserve"> </w:t>
      </w:r>
      <w:r w:rsidR="00610CE4">
        <w:t>short o</w:t>
      </w:r>
      <w:r w:rsidR="00BE7EF5">
        <w:t>f</w:t>
      </w:r>
      <w:r w:rsidR="00610CE4">
        <w:t xml:space="preserve"> capacity </w:t>
      </w:r>
      <w:r w:rsidR="00A2743A">
        <w:t xml:space="preserve">in </w:t>
      </w:r>
      <w:r w:rsidR="00610CE4">
        <w:t>each 15-minute Settlement Interval</w:t>
      </w:r>
      <w:r w:rsidR="00A2743A">
        <w:t>, based on each QSE’s entire portfolio position</w:t>
      </w:r>
      <w:r w:rsidR="00724441">
        <w:t xml:space="preserve">; </w:t>
      </w:r>
      <w:r w:rsidR="005179DA">
        <w:t>a</w:t>
      </w:r>
      <w:r w:rsidR="0053011C">
        <w:t xml:space="preserve"> QSE short in </w:t>
      </w:r>
      <w:r w:rsidR="00AE4609">
        <w:t xml:space="preserve">given </w:t>
      </w:r>
      <w:r w:rsidR="0053011C">
        <w:t>Settlement Interval were allocated a portion of the cost</w:t>
      </w:r>
      <w:r w:rsidR="002E5AED">
        <w:t xml:space="preserve">. </w:t>
      </w:r>
      <w:r w:rsidR="002A2550">
        <w:t>The results were then reported by</w:t>
      </w:r>
      <w:r w:rsidR="006B458D">
        <w:t xml:space="preserve"> </w:t>
      </w:r>
      <w:r w:rsidR="00F476C5">
        <w:t>QSE</w:t>
      </w:r>
      <w:r w:rsidR="002A2550">
        <w:t xml:space="preserve"> type</w:t>
      </w:r>
      <w:r w:rsidR="00AF3467">
        <w:t xml:space="preserve">: </w:t>
      </w:r>
      <w:r w:rsidR="008E15D9">
        <w:t>Load-and-</w:t>
      </w:r>
      <w:r w:rsidR="00056528">
        <w:t>Generation, Generation Only, Load Only, and Power Trader.</w:t>
      </w:r>
      <w:r w:rsidR="00D24E88">
        <w:t xml:space="preserve"> This QSE-type reporting is used because Method C's short-position calculation is performed at the QSE level and cannot be disaggregated into the dispatchable / non-dispatchable / load categories used in Methods A and B.</w:t>
      </w:r>
      <w:r w:rsidR="00223FDE">
        <w:t xml:space="preserve"> On the consistency point: Method C </w:t>
      </w:r>
      <w:proofErr w:type="gramStart"/>
      <w:r w:rsidR="00223FDE">
        <w:t xml:space="preserve">does </w:t>
      </w:r>
      <w:r w:rsidR="00223FDE">
        <w:lastRenderedPageBreak/>
        <w:t>not allocate</w:t>
      </w:r>
      <w:proofErr w:type="gramEnd"/>
      <w:r w:rsidR="00223FDE">
        <w:t xml:space="preserve"> by any individual service's risk drivers — it allocates solely </w:t>
      </w:r>
      <w:proofErr w:type="gramStart"/>
      <w:r w:rsidR="00223FDE">
        <w:t>on</w:t>
      </w:r>
      <w:proofErr w:type="gramEnd"/>
      <w:r w:rsidR="00223FDE">
        <w:t xml:space="preserve"> QSE capacity-short position. So how a given service's quantity is determined does not affect the Method C allocation, which is by design uniform across all AS and RS.</w:t>
      </w:r>
    </w:p>
    <w:p w14:paraId="213B1406" w14:textId="77777777" w:rsidR="00805EBE" w:rsidRPr="00981B8D" w:rsidRDefault="00805EBE" w:rsidP="00F04329">
      <w:pPr>
        <w:pStyle w:val="ListParagraph"/>
      </w:pPr>
    </w:p>
    <w:p w14:paraId="27B84BCC" w14:textId="77777777" w:rsidR="00981B8D" w:rsidRDefault="00981B8D" w:rsidP="00981B8D">
      <w:pPr>
        <w:pStyle w:val="ListParagraph"/>
        <w:numPr>
          <w:ilvl w:val="0"/>
          <w:numId w:val="10"/>
        </w:numPr>
      </w:pPr>
      <w:r w:rsidRPr="003A387E">
        <w:rPr>
          <w:b/>
          <w:bCs/>
        </w:rPr>
        <w:t>Vistra:</w:t>
      </w:r>
      <w:r w:rsidRPr="00981B8D">
        <w:t xml:space="preserve"> RMR/RUC being labeled "reliability services" is confusing.</w:t>
      </w:r>
    </w:p>
    <w:p w14:paraId="5679FB41" w14:textId="4213F80F" w:rsidR="00805EBE" w:rsidRDefault="00805EBE" w:rsidP="00F04329">
      <w:pPr>
        <w:pStyle w:val="ListParagraph"/>
      </w:pPr>
      <w:r w:rsidRPr="0048795B">
        <w:rPr>
          <w:b/>
          <w:bCs/>
        </w:rPr>
        <w:t>ERCOT Response:</w:t>
      </w:r>
      <w:r w:rsidR="00282E9F" w:rsidRPr="00282E9F">
        <w:t xml:space="preserve"> RMR and RUC are reliability services and are treated as such in this study, consistent with the Commission-approved study scope (Project No. 58555)</w:t>
      </w:r>
      <w:r w:rsidR="00282E9F">
        <w:t>.</w:t>
      </w:r>
    </w:p>
    <w:p w14:paraId="67AF7F26" w14:textId="77777777" w:rsidR="00805EBE" w:rsidRPr="00981B8D" w:rsidRDefault="00805EBE" w:rsidP="00F04329">
      <w:pPr>
        <w:pStyle w:val="ListParagraph"/>
      </w:pPr>
    </w:p>
    <w:p w14:paraId="7D0186B2" w14:textId="36A55CD6" w:rsidR="003A1085" w:rsidRPr="00981B8D" w:rsidRDefault="00981B8D" w:rsidP="003A1085">
      <w:pPr>
        <w:pStyle w:val="ListParagraph"/>
        <w:numPr>
          <w:ilvl w:val="0"/>
          <w:numId w:val="10"/>
        </w:numPr>
      </w:pPr>
      <w:r w:rsidRPr="003A387E">
        <w:rPr>
          <w:b/>
          <w:bCs/>
        </w:rPr>
        <w:t>CMC Steel:</w:t>
      </w:r>
      <w:r w:rsidRPr="00981B8D">
        <w:t xml:space="preserve"> </w:t>
      </w:r>
      <w:r w:rsidR="008C66DC">
        <w:t>I</w:t>
      </w:r>
      <w:r w:rsidRPr="00981B8D">
        <w:t>s load AS cost settled at the QSE level; what does daily allocation do to Method B settlement?</w:t>
      </w:r>
      <w:r w:rsidR="003A1085">
        <w:t xml:space="preserve"> </w:t>
      </w:r>
    </w:p>
    <w:p w14:paraId="288C9E8F" w14:textId="673B051F" w:rsidR="008C15E4" w:rsidRDefault="003A1085" w:rsidP="00AB6125">
      <w:pPr>
        <w:pStyle w:val="ListParagraph"/>
      </w:pPr>
      <w:r w:rsidRPr="0048795B">
        <w:rPr>
          <w:b/>
          <w:bCs/>
        </w:rPr>
        <w:t>ERCOT Response:</w:t>
      </w:r>
      <w:r w:rsidR="00EB48F2">
        <w:t xml:space="preserve"> </w:t>
      </w:r>
      <w:r w:rsidR="00EB48F2" w:rsidRPr="00EB48F2">
        <w:t>Yes. Under the current ERCOT Nodal Protocol methodology, all AS and RS costs</w:t>
      </w:r>
      <w:r w:rsidR="00D71180">
        <w:t>, excluding RUC,</w:t>
      </w:r>
      <w:r w:rsidR="00EB48F2" w:rsidRPr="00EB48F2">
        <w:t xml:space="preserve"> </w:t>
      </w:r>
      <w:r w:rsidR="5D9CA61F" w:rsidRPr="7F32BB2C">
        <w:t xml:space="preserve">which is allocated </w:t>
      </w:r>
      <w:proofErr w:type="gramStart"/>
      <w:r w:rsidR="5D9CA61F" w:rsidRPr="7F32BB2C">
        <w:t>on</w:t>
      </w:r>
      <w:proofErr w:type="gramEnd"/>
      <w:r w:rsidR="5D9CA61F" w:rsidRPr="7F32BB2C">
        <w:t xml:space="preserve"> capacity-short positions</w:t>
      </w:r>
      <w:r w:rsidR="693D8B44">
        <w:t>,</w:t>
      </w:r>
      <w:r w:rsidR="72CDEF2A">
        <w:t xml:space="preserve"> </w:t>
      </w:r>
      <w:r w:rsidR="00EB48F2" w:rsidRPr="00EB48F2">
        <w:t xml:space="preserve">are allocated to load </w:t>
      </w:r>
      <w:r w:rsidR="008B7F47" w:rsidRPr="00EB48F2">
        <w:t xml:space="preserve">on a Load Ratio Share (LRS) basis </w:t>
      </w:r>
      <w:r w:rsidR="00EB48F2" w:rsidRPr="00EB48F2">
        <w:t>and settled at the Qualified Scheduling Entity (QSE) level. This is the Base Case in the study scope (Project No. 58555).</w:t>
      </w:r>
      <w:r w:rsidR="00AB6125">
        <w:t xml:space="preserve"> </w:t>
      </w:r>
      <w:r w:rsidR="00EB48F2" w:rsidRPr="00EB48F2">
        <w:t xml:space="preserve">Regarding settlement cadence: the semi-annual settlement question applies to Method A, the PURA §39.1593(b)(1) method proposed for semi-annual allocation. </w:t>
      </w:r>
      <w:r w:rsidR="00A055FE" w:rsidRPr="00A055FE">
        <w:t>Method B was evaluated on the status quo (daily) settlement cadence.</w:t>
      </w:r>
      <w:r w:rsidR="00EB48F2" w:rsidRPr="00EB48F2">
        <w:t xml:space="preserve"> Method B therefore does not change how or how often load AS cost is settled; it changes how cost is apportioned among the dispatchable, non-dispatchable, and load categories, not the settlement timing. The study's settlement-and-credit analysis, as described in the scope, examines the effects of the semi-annual cadence (the Method A case), including potential credit exposure and cash-flow impacts.</w:t>
      </w:r>
    </w:p>
    <w:sectPr w:rsidR="008C15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835DC"/>
    <w:multiLevelType w:val="hybridMultilevel"/>
    <w:tmpl w:val="D158A3F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8D87090"/>
    <w:multiLevelType w:val="hybridMultilevel"/>
    <w:tmpl w:val="08E47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AA0F80"/>
    <w:multiLevelType w:val="hybridMultilevel"/>
    <w:tmpl w:val="E4BED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E5509B"/>
    <w:multiLevelType w:val="multilevel"/>
    <w:tmpl w:val="2E68BC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F754875"/>
    <w:multiLevelType w:val="hybridMultilevel"/>
    <w:tmpl w:val="098EDF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93F0F"/>
    <w:multiLevelType w:val="hybridMultilevel"/>
    <w:tmpl w:val="B8ECE8E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3A00A1B"/>
    <w:multiLevelType w:val="hybridMultilevel"/>
    <w:tmpl w:val="D444D7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1B141F"/>
    <w:multiLevelType w:val="hybridMultilevel"/>
    <w:tmpl w:val="E4BED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CD48C0"/>
    <w:multiLevelType w:val="multilevel"/>
    <w:tmpl w:val="4FCE0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5330266"/>
    <w:multiLevelType w:val="hybridMultilevel"/>
    <w:tmpl w:val="E4BED9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75D0556"/>
    <w:multiLevelType w:val="hybridMultilevel"/>
    <w:tmpl w:val="E4BED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11020F"/>
    <w:multiLevelType w:val="hybridMultilevel"/>
    <w:tmpl w:val="35BCE2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4529211">
    <w:abstractNumId w:val="3"/>
  </w:num>
  <w:num w:numId="2" w16cid:durableId="1444418901">
    <w:abstractNumId w:val="8"/>
  </w:num>
  <w:num w:numId="3" w16cid:durableId="1495025152">
    <w:abstractNumId w:val="2"/>
  </w:num>
  <w:num w:numId="4" w16cid:durableId="1614242363">
    <w:abstractNumId w:val="4"/>
  </w:num>
  <w:num w:numId="5" w16cid:durableId="2126001980">
    <w:abstractNumId w:val="6"/>
  </w:num>
  <w:num w:numId="6" w16cid:durableId="503277180">
    <w:abstractNumId w:val="10"/>
  </w:num>
  <w:num w:numId="7" w16cid:durableId="620107820">
    <w:abstractNumId w:val="7"/>
  </w:num>
  <w:num w:numId="8" w16cid:durableId="865338520">
    <w:abstractNumId w:val="9"/>
  </w:num>
  <w:num w:numId="9" w16cid:durableId="1548712427">
    <w:abstractNumId w:val="1"/>
  </w:num>
  <w:num w:numId="10" w16cid:durableId="421462021">
    <w:abstractNumId w:val="11"/>
  </w:num>
  <w:num w:numId="11" w16cid:durableId="1957523760">
    <w:abstractNumId w:val="0"/>
  </w:num>
  <w:num w:numId="12" w16cid:durableId="10226265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7E6"/>
    <w:rsid w:val="00000900"/>
    <w:rsid w:val="00006B6D"/>
    <w:rsid w:val="00013BC7"/>
    <w:rsid w:val="0001496C"/>
    <w:rsid w:val="000166A9"/>
    <w:rsid w:val="000211EA"/>
    <w:rsid w:val="00021ED8"/>
    <w:rsid w:val="00022981"/>
    <w:rsid w:val="000230D2"/>
    <w:rsid w:val="00024778"/>
    <w:rsid w:val="00027C2F"/>
    <w:rsid w:val="00032B51"/>
    <w:rsid w:val="00032DE3"/>
    <w:rsid w:val="00036757"/>
    <w:rsid w:val="00036C40"/>
    <w:rsid w:val="000402B7"/>
    <w:rsid w:val="0004248C"/>
    <w:rsid w:val="00042826"/>
    <w:rsid w:val="00044E56"/>
    <w:rsid w:val="0005258B"/>
    <w:rsid w:val="00055D85"/>
    <w:rsid w:val="00056528"/>
    <w:rsid w:val="00061C1E"/>
    <w:rsid w:val="00061CC1"/>
    <w:rsid w:val="000632B6"/>
    <w:rsid w:val="000641ED"/>
    <w:rsid w:val="00065B1C"/>
    <w:rsid w:val="00075F7A"/>
    <w:rsid w:val="00077A81"/>
    <w:rsid w:val="0008794F"/>
    <w:rsid w:val="000972B6"/>
    <w:rsid w:val="000A183E"/>
    <w:rsid w:val="000A3093"/>
    <w:rsid w:val="000A7C79"/>
    <w:rsid w:val="000B0F55"/>
    <w:rsid w:val="000B4725"/>
    <w:rsid w:val="000B6AB4"/>
    <w:rsid w:val="000D301E"/>
    <w:rsid w:val="000D4E75"/>
    <w:rsid w:val="000D6204"/>
    <w:rsid w:val="000D634C"/>
    <w:rsid w:val="000D7C0A"/>
    <w:rsid w:val="000E596D"/>
    <w:rsid w:val="000E5BE4"/>
    <w:rsid w:val="000F06D4"/>
    <w:rsid w:val="000F16E6"/>
    <w:rsid w:val="000F4A4A"/>
    <w:rsid w:val="000F6DA5"/>
    <w:rsid w:val="001036DB"/>
    <w:rsid w:val="001068BE"/>
    <w:rsid w:val="001071A6"/>
    <w:rsid w:val="001140B4"/>
    <w:rsid w:val="0011556C"/>
    <w:rsid w:val="00117B5A"/>
    <w:rsid w:val="00122E61"/>
    <w:rsid w:val="001318E9"/>
    <w:rsid w:val="001347F0"/>
    <w:rsid w:val="00153B4D"/>
    <w:rsid w:val="001546B0"/>
    <w:rsid w:val="00160F96"/>
    <w:rsid w:val="001674A7"/>
    <w:rsid w:val="00170527"/>
    <w:rsid w:val="00171234"/>
    <w:rsid w:val="001718C5"/>
    <w:rsid w:val="00172C43"/>
    <w:rsid w:val="001765E8"/>
    <w:rsid w:val="0018309B"/>
    <w:rsid w:val="00183AE5"/>
    <w:rsid w:val="00183C5A"/>
    <w:rsid w:val="00190803"/>
    <w:rsid w:val="001942E9"/>
    <w:rsid w:val="00194A37"/>
    <w:rsid w:val="00197C82"/>
    <w:rsid w:val="001A1FE8"/>
    <w:rsid w:val="001A24FD"/>
    <w:rsid w:val="001A25F5"/>
    <w:rsid w:val="001B45AF"/>
    <w:rsid w:val="001B666E"/>
    <w:rsid w:val="001C41C5"/>
    <w:rsid w:val="001D4189"/>
    <w:rsid w:val="001D7F24"/>
    <w:rsid w:val="001E018C"/>
    <w:rsid w:val="001E1CD9"/>
    <w:rsid w:val="001E7D5C"/>
    <w:rsid w:val="001F0394"/>
    <w:rsid w:val="001F438F"/>
    <w:rsid w:val="001F44E4"/>
    <w:rsid w:val="001F6006"/>
    <w:rsid w:val="001F6A44"/>
    <w:rsid w:val="002019E5"/>
    <w:rsid w:val="00202854"/>
    <w:rsid w:val="00205D89"/>
    <w:rsid w:val="002166C3"/>
    <w:rsid w:val="00216C7B"/>
    <w:rsid w:val="00223FDE"/>
    <w:rsid w:val="0022600A"/>
    <w:rsid w:val="0023116F"/>
    <w:rsid w:val="002338FC"/>
    <w:rsid w:val="0023610A"/>
    <w:rsid w:val="00236959"/>
    <w:rsid w:val="0024001B"/>
    <w:rsid w:val="0024249B"/>
    <w:rsid w:val="002430CA"/>
    <w:rsid w:val="0024483C"/>
    <w:rsid w:val="00245881"/>
    <w:rsid w:val="00247EFD"/>
    <w:rsid w:val="00253E26"/>
    <w:rsid w:val="00255A0C"/>
    <w:rsid w:val="0026250A"/>
    <w:rsid w:val="00266BDA"/>
    <w:rsid w:val="0027464E"/>
    <w:rsid w:val="00282E9F"/>
    <w:rsid w:val="00295D86"/>
    <w:rsid w:val="002977DB"/>
    <w:rsid w:val="00297FDC"/>
    <w:rsid w:val="002A19ED"/>
    <w:rsid w:val="002A1D51"/>
    <w:rsid w:val="002A2550"/>
    <w:rsid w:val="002A4563"/>
    <w:rsid w:val="002A7CBC"/>
    <w:rsid w:val="002B685F"/>
    <w:rsid w:val="002B7C4D"/>
    <w:rsid w:val="002C37E9"/>
    <w:rsid w:val="002C4476"/>
    <w:rsid w:val="002C475D"/>
    <w:rsid w:val="002C5F96"/>
    <w:rsid w:val="002C695A"/>
    <w:rsid w:val="002C699B"/>
    <w:rsid w:val="002D385D"/>
    <w:rsid w:val="002D6B59"/>
    <w:rsid w:val="002D6EFF"/>
    <w:rsid w:val="002E123F"/>
    <w:rsid w:val="002E189D"/>
    <w:rsid w:val="002E3A75"/>
    <w:rsid w:val="002E5146"/>
    <w:rsid w:val="002E5AED"/>
    <w:rsid w:val="002F263C"/>
    <w:rsid w:val="002F2B0F"/>
    <w:rsid w:val="002F3A57"/>
    <w:rsid w:val="002F3F48"/>
    <w:rsid w:val="002F3FA2"/>
    <w:rsid w:val="002F6C22"/>
    <w:rsid w:val="00301046"/>
    <w:rsid w:val="0030789A"/>
    <w:rsid w:val="00311D9F"/>
    <w:rsid w:val="00320CD8"/>
    <w:rsid w:val="003302B0"/>
    <w:rsid w:val="00332124"/>
    <w:rsid w:val="00332DC0"/>
    <w:rsid w:val="003335EB"/>
    <w:rsid w:val="00333B25"/>
    <w:rsid w:val="00334DB2"/>
    <w:rsid w:val="003524E8"/>
    <w:rsid w:val="00360146"/>
    <w:rsid w:val="003621AE"/>
    <w:rsid w:val="00364094"/>
    <w:rsid w:val="003662D6"/>
    <w:rsid w:val="00367FD2"/>
    <w:rsid w:val="00384FAC"/>
    <w:rsid w:val="003855DD"/>
    <w:rsid w:val="003878E7"/>
    <w:rsid w:val="00392DA4"/>
    <w:rsid w:val="00393454"/>
    <w:rsid w:val="00393A23"/>
    <w:rsid w:val="003943C4"/>
    <w:rsid w:val="003945A1"/>
    <w:rsid w:val="003A1085"/>
    <w:rsid w:val="003A1846"/>
    <w:rsid w:val="003A3456"/>
    <w:rsid w:val="003A387E"/>
    <w:rsid w:val="003A518E"/>
    <w:rsid w:val="003B01E1"/>
    <w:rsid w:val="003B544B"/>
    <w:rsid w:val="003B70DC"/>
    <w:rsid w:val="003C26E4"/>
    <w:rsid w:val="003C3D02"/>
    <w:rsid w:val="003C4A62"/>
    <w:rsid w:val="003C5014"/>
    <w:rsid w:val="003C5B45"/>
    <w:rsid w:val="003D2AA3"/>
    <w:rsid w:val="003E0CCB"/>
    <w:rsid w:val="003E3730"/>
    <w:rsid w:val="003E6011"/>
    <w:rsid w:val="003E7FF6"/>
    <w:rsid w:val="003F66A4"/>
    <w:rsid w:val="00401388"/>
    <w:rsid w:val="004107F6"/>
    <w:rsid w:val="00410C60"/>
    <w:rsid w:val="00413681"/>
    <w:rsid w:val="00417B64"/>
    <w:rsid w:val="00424F5B"/>
    <w:rsid w:val="004275D3"/>
    <w:rsid w:val="00430D2B"/>
    <w:rsid w:val="0043286C"/>
    <w:rsid w:val="00434264"/>
    <w:rsid w:val="00435919"/>
    <w:rsid w:val="00445E2D"/>
    <w:rsid w:val="00446AA0"/>
    <w:rsid w:val="00450E2A"/>
    <w:rsid w:val="00452927"/>
    <w:rsid w:val="0045417C"/>
    <w:rsid w:val="00454D02"/>
    <w:rsid w:val="0045586B"/>
    <w:rsid w:val="00455BBE"/>
    <w:rsid w:val="004567CE"/>
    <w:rsid w:val="00456CDD"/>
    <w:rsid w:val="00463329"/>
    <w:rsid w:val="00463DBD"/>
    <w:rsid w:val="004801BB"/>
    <w:rsid w:val="0048150D"/>
    <w:rsid w:val="00485B9F"/>
    <w:rsid w:val="0048795B"/>
    <w:rsid w:val="00487B75"/>
    <w:rsid w:val="00494CA2"/>
    <w:rsid w:val="004A1D29"/>
    <w:rsid w:val="004A2663"/>
    <w:rsid w:val="004A2C69"/>
    <w:rsid w:val="004A3D1E"/>
    <w:rsid w:val="004A7BE0"/>
    <w:rsid w:val="004B0C1D"/>
    <w:rsid w:val="004B6862"/>
    <w:rsid w:val="004C1476"/>
    <w:rsid w:val="004C398F"/>
    <w:rsid w:val="004C53EA"/>
    <w:rsid w:val="004C5DB5"/>
    <w:rsid w:val="004D69F4"/>
    <w:rsid w:val="004D7EEA"/>
    <w:rsid w:val="004E11FA"/>
    <w:rsid w:val="004E1A39"/>
    <w:rsid w:val="004F247F"/>
    <w:rsid w:val="005042C8"/>
    <w:rsid w:val="0050457B"/>
    <w:rsid w:val="005072F0"/>
    <w:rsid w:val="00510626"/>
    <w:rsid w:val="005179DA"/>
    <w:rsid w:val="005268B5"/>
    <w:rsid w:val="0053011C"/>
    <w:rsid w:val="005374E9"/>
    <w:rsid w:val="005420BF"/>
    <w:rsid w:val="00547F4E"/>
    <w:rsid w:val="00554059"/>
    <w:rsid w:val="005607FA"/>
    <w:rsid w:val="00560B5A"/>
    <w:rsid w:val="00561806"/>
    <w:rsid w:val="005622CA"/>
    <w:rsid w:val="005629AC"/>
    <w:rsid w:val="00563CBC"/>
    <w:rsid w:val="00563F03"/>
    <w:rsid w:val="00566BC0"/>
    <w:rsid w:val="00576B80"/>
    <w:rsid w:val="0058100C"/>
    <w:rsid w:val="00585673"/>
    <w:rsid w:val="005901BA"/>
    <w:rsid w:val="005A0667"/>
    <w:rsid w:val="005A082D"/>
    <w:rsid w:val="005A5355"/>
    <w:rsid w:val="005B1D5F"/>
    <w:rsid w:val="005B7C2B"/>
    <w:rsid w:val="005C105D"/>
    <w:rsid w:val="005C7775"/>
    <w:rsid w:val="005D54EE"/>
    <w:rsid w:val="005D7FBA"/>
    <w:rsid w:val="005E1430"/>
    <w:rsid w:val="005E1D6C"/>
    <w:rsid w:val="005E3C00"/>
    <w:rsid w:val="005E490F"/>
    <w:rsid w:val="005F2122"/>
    <w:rsid w:val="005F3BAB"/>
    <w:rsid w:val="00601398"/>
    <w:rsid w:val="00601BBE"/>
    <w:rsid w:val="00605E2C"/>
    <w:rsid w:val="00607579"/>
    <w:rsid w:val="00607A4F"/>
    <w:rsid w:val="00610CE4"/>
    <w:rsid w:val="00614817"/>
    <w:rsid w:val="00614CA6"/>
    <w:rsid w:val="00614FB8"/>
    <w:rsid w:val="006156D3"/>
    <w:rsid w:val="0061636A"/>
    <w:rsid w:val="00617D7C"/>
    <w:rsid w:val="006209FD"/>
    <w:rsid w:val="006212D4"/>
    <w:rsid w:val="0062189B"/>
    <w:rsid w:val="00623FB1"/>
    <w:rsid w:val="00624FB4"/>
    <w:rsid w:val="0062573D"/>
    <w:rsid w:val="006348C8"/>
    <w:rsid w:val="0063496D"/>
    <w:rsid w:val="00636983"/>
    <w:rsid w:val="006417CC"/>
    <w:rsid w:val="006417CD"/>
    <w:rsid w:val="0064237C"/>
    <w:rsid w:val="0064430E"/>
    <w:rsid w:val="00646734"/>
    <w:rsid w:val="006502D3"/>
    <w:rsid w:val="006555FB"/>
    <w:rsid w:val="006557FA"/>
    <w:rsid w:val="00661045"/>
    <w:rsid w:val="00661657"/>
    <w:rsid w:val="0066198C"/>
    <w:rsid w:val="006646E8"/>
    <w:rsid w:val="006652DE"/>
    <w:rsid w:val="00670A94"/>
    <w:rsid w:val="00676737"/>
    <w:rsid w:val="00685365"/>
    <w:rsid w:val="006963A8"/>
    <w:rsid w:val="00696D85"/>
    <w:rsid w:val="006A52D0"/>
    <w:rsid w:val="006A63C2"/>
    <w:rsid w:val="006A79C0"/>
    <w:rsid w:val="006B288E"/>
    <w:rsid w:val="006B3431"/>
    <w:rsid w:val="006B458D"/>
    <w:rsid w:val="006B4E3F"/>
    <w:rsid w:val="006B7AF4"/>
    <w:rsid w:val="006C024A"/>
    <w:rsid w:val="006C42B2"/>
    <w:rsid w:val="006C5074"/>
    <w:rsid w:val="006C5710"/>
    <w:rsid w:val="006C63D6"/>
    <w:rsid w:val="006C7ADC"/>
    <w:rsid w:val="006D2ED1"/>
    <w:rsid w:val="006D483E"/>
    <w:rsid w:val="006D4940"/>
    <w:rsid w:val="006D4FB0"/>
    <w:rsid w:val="006E1F11"/>
    <w:rsid w:val="006E5502"/>
    <w:rsid w:val="006E6915"/>
    <w:rsid w:val="006E725F"/>
    <w:rsid w:val="006F2109"/>
    <w:rsid w:val="006F3C42"/>
    <w:rsid w:val="006F41E6"/>
    <w:rsid w:val="006F43D9"/>
    <w:rsid w:val="00703A0F"/>
    <w:rsid w:val="00703C4E"/>
    <w:rsid w:val="00704749"/>
    <w:rsid w:val="00707CE6"/>
    <w:rsid w:val="007122D6"/>
    <w:rsid w:val="00723AD5"/>
    <w:rsid w:val="00723B32"/>
    <w:rsid w:val="00724441"/>
    <w:rsid w:val="00730911"/>
    <w:rsid w:val="007359DF"/>
    <w:rsid w:val="007364C7"/>
    <w:rsid w:val="007428DD"/>
    <w:rsid w:val="007450F2"/>
    <w:rsid w:val="0074596A"/>
    <w:rsid w:val="00745C3D"/>
    <w:rsid w:val="007464B1"/>
    <w:rsid w:val="00753D5C"/>
    <w:rsid w:val="0076085A"/>
    <w:rsid w:val="00762C8E"/>
    <w:rsid w:val="0076482D"/>
    <w:rsid w:val="00772690"/>
    <w:rsid w:val="0077677A"/>
    <w:rsid w:val="00780DF4"/>
    <w:rsid w:val="00784816"/>
    <w:rsid w:val="007852DA"/>
    <w:rsid w:val="00791B23"/>
    <w:rsid w:val="00794AA5"/>
    <w:rsid w:val="0079634B"/>
    <w:rsid w:val="007A3614"/>
    <w:rsid w:val="007A72BD"/>
    <w:rsid w:val="007A7BCE"/>
    <w:rsid w:val="007B2843"/>
    <w:rsid w:val="007B55A5"/>
    <w:rsid w:val="007B7E7F"/>
    <w:rsid w:val="007C12BC"/>
    <w:rsid w:val="007C3797"/>
    <w:rsid w:val="007C472A"/>
    <w:rsid w:val="007D0ADE"/>
    <w:rsid w:val="007D42AA"/>
    <w:rsid w:val="007D504A"/>
    <w:rsid w:val="007E1B25"/>
    <w:rsid w:val="007E253C"/>
    <w:rsid w:val="007F38E0"/>
    <w:rsid w:val="007F4D0C"/>
    <w:rsid w:val="008007EC"/>
    <w:rsid w:val="00805EBE"/>
    <w:rsid w:val="0081132B"/>
    <w:rsid w:val="00816BDA"/>
    <w:rsid w:val="00820C07"/>
    <w:rsid w:val="00821527"/>
    <w:rsid w:val="00821D69"/>
    <w:rsid w:val="00822404"/>
    <w:rsid w:val="0082254A"/>
    <w:rsid w:val="008318BD"/>
    <w:rsid w:val="00831DA1"/>
    <w:rsid w:val="008338E0"/>
    <w:rsid w:val="00833ED1"/>
    <w:rsid w:val="00834417"/>
    <w:rsid w:val="00834CA3"/>
    <w:rsid w:val="00834CBD"/>
    <w:rsid w:val="00837994"/>
    <w:rsid w:val="00841008"/>
    <w:rsid w:val="00841B0F"/>
    <w:rsid w:val="00844155"/>
    <w:rsid w:val="00844838"/>
    <w:rsid w:val="008455DB"/>
    <w:rsid w:val="00846231"/>
    <w:rsid w:val="00847A58"/>
    <w:rsid w:val="0085108F"/>
    <w:rsid w:val="008512B9"/>
    <w:rsid w:val="00854342"/>
    <w:rsid w:val="0086055F"/>
    <w:rsid w:val="00860E88"/>
    <w:rsid w:val="0086282F"/>
    <w:rsid w:val="00863527"/>
    <w:rsid w:val="00865F61"/>
    <w:rsid w:val="00866C2E"/>
    <w:rsid w:val="00867FE0"/>
    <w:rsid w:val="00871A77"/>
    <w:rsid w:val="00881165"/>
    <w:rsid w:val="00886BD6"/>
    <w:rsid w:val="00894C56"/>
    <w:rsid w:val="008957E6"/>
    <w:rsid w:val="008A18EC"/>
    <w:rsid w:val="008B032A"/>
    <w:rsid w:val="008B0F11"/>
    <w:rsid w:val="008B13D1"/>
    <w:rsid w:val="008B536D"/>
    <w:rsid w:val="008B7EA0"/>
    <w:rsid w:val="008B7F47"/>
    <w:rsid w:val="008C15E4"/>
    <w:rsid w:val="008C1ECD"/>
    <w:rsid w:val="008C66DC"/>
    <w:rsid w:val="008D1B8C"/>
    <w:rsid w:val="008D596B"/>
    <w:rsid w:val="008D6CB2"/>
    <w:rsid w:val="008E034C"/>
    <w:rsid w:val="008E15D9"/>
    <w:rsid w:val="008F77B6"/>
    <w:rsid w:val="009027E6"/>
    <w:rsid w:val="00905456"/>
    <w:rsid w:val="0091013A"/>
    <w:rsid w:val="00912384"/>
    <w:rsid w:val="0092108B"/>
    <w:rsid w:val="00921B58"/>
    <w:rsid w:val="00934807"/>
    <w:rsid w:val="0093581C"/>
    <w:rsid w:val="00937C92"/>
    <w:rsid w:val="00941FA7"/>
    <w:rsid w:val="00945A53"/>
    <w:rsid w:val="00950207"/>
    <w:rsid w:val="00951D01"/>
    <w:rsid w:val="00953627"/>
    <w:rsid w:val="00957F6A"/>
    <w:rsid w:val="00960075"/>
    <w:rsid w:val="00960F6F"/>
    <w:rsid w:val="0096427B"/>
    <w:rsid w:val="00966BB2"/>
    <w:rsid w:val="00967F9A"/>
    <w:rsid w:val="00970E2E"/>
    <w:rsid w:val="0097200E"/>
    <w:rsid w:val="009733A6"/>
    <w:rsid w:val="0097454C"/>
    <w:rsid w:val="00975AFC"/>
    <w:rsid w:val="0097784C"/>
    <w:rsid w:val="00981B8D"/>
    <w:rsid w:val="0098300E"/>
    <w:rsid w:val="00983084"/>
    <w:rsid w:val="009849A9"/>
    <w:rsid w:val="009853BD"/>
    <w:rsid w:val="00993C0F"/>
    <w:rsid w:val="009948B0"/>
    <w:rsid w:val="009973A9"/>
    <w:rsid w:val="009A16F1"/>
    <w:rsid w:val="009A4BB2"/>
    <w:rsid w:val="009A54E8"/>
    <w:rsid w:val="009B613E"/>
    <w:rsid w:val="009B6253"/>
    <w:rsid w:val="009C0D5E"/>
    <w:rsid w:val="009C6823"/>
    <w:rsid w:val="009D5073"/>
    <w:rsid w:val="009D71C4"/>
    <w:rsid w:val="009E1822"/>
    <w:rsid w:val="009E1DEF"/>
    <w:rsid w:val="009E2BD0"/>
    <w:rsid w:val="009E550E"/>
    <w:rsid w:val="009E60AA"/>
    <w:rsid w:val="009E76AA"/>
    <w:rsid w:val="009F0D6D"/>
    <w:rsid w:val="009F0EBE"/>
    <w:rsid w:val="009F1087"/>
    <w:rsid w:val="009F6E53"/>
    <w:rsid w:val="00A0122A"/>
    <w:rsid w:val="00A055FE"/>
    <w:rsid w:val="00A07169"/>
    <w:rsid w:val="00A14CE4"/>
    <w:rsid w:val="00A26DB8"/>
    <w:rsid w:val="00A2743A"/>
    <w:rsid w:val="00A27751"/>
    <w:rsid w:val="00A30233"/>
    <w:rsid w:val="00A31A5F"/>
    <w:rsid w:val="00A34408"/>
    <w:rsid w:val="00A45568"/>
    <w:rsid w:val="00A45A35"/>
    <w:rsid w:val="00A46204"/>
    <w:rsid w:val="00A4BD33"/>
    <w:rsid w:val="00A51BD9"/>
    <w:rsid w:val="00A625EC"/>
    <w:rsid w:val="00A70161"/>
    <w:rsid w:val="00A7187D"/>
    <w:rsid w:val="00A752A8"/>
    <w:rsid w:val="00A756FC"/>
    <w:rsid w:val="00A777F0"/>
    <w:rsid w:val="00A814CA"/>
    <w:rsid w:val="00A84AFF"/>
    <w:rsid w:val="00A90886"/>
    <w:rsid w:val="00A90B9E"/>
    <w:rsid w:val="00A93A5F"/>
    <w:rsid w:val="00A94CAC"/>
    <w:rsid w:val="00A95711"/>
    <w:rsid w:val="00A95D13"/>
    <w:rsid w:val="00A97493"/>
    <w:rsid w:val="00AA1576"/>
    <w:rsid w:val="00AA2562"/>
    <w:rsid w:val="00AA6774"/>
    <w:rsid w:val="00AA7A09"/>
    <w:rsid w:val="00AB52E5"/>
    <w:rsid w:val="00AB6125"/>
    <w:rsid w:val="00AC1F15"/>
    <w:rsid w:val="00AC25F8"/>
    <w:rsid w:val="00AC3221"/>
    <w:rsid w:val="00AC46B8"/>
    <w:rsid w:val="00AC5FDB"/>
    <w:rsid w:val="00AD2697"/>
    <w:rsid w:val="00AD2FA6"/>
    <w:rsid w:val="00AD490C"/>
    <w:rsid w:val="00AE4609"/>
    <w:rsid w:val="00AF0C8D"/>
    <w:rsid w:val="00AF3467"/>
    <w:rsid w:val="00AF5A2D"/>
    <w:rsid w:val="00B00C28"/>
    <w:rsid w:val="00B0346A"/>
    <w:rsid w:val="00B10412"/>
    <w:rsid w:val="00B127F8"/>
    <w:rsid w:val="00B158B7"/>
    <w:rsid w:val="00B27BCB"/>
    <w:rsid w:val="00B3624C"/>
    <w:rsid w:val="00B434B6"/>
    <w:rsid w:val="00B43A8D"/>
    <w:rsid w:val="00B44441"/>
    <w:rsid w:val="00B56092"/>
    <w:rsid w:val="00B56ED7"/>
    <w:rsid w:val="00B60B68"/>
    <w:rsid w:val="00B6584D"/>
    <w:rsid w:val="00B67246"/>
    <w:rsid w:val="00B7096B"/>
    <w:rsid w:val="00B7233B"/>
    <w:rsid w:val="00B7298C"/>
    <w:rsid w:val="00B72DA3"/>
    <w:rsid w:val="00B83257"/>
    <w:rsid w:val="00B913CB"/>
    <w:rsid w:val="00BA5321"/>
    <w:rsid w:val="00BB0222"/>
    <w:rsid w:val="00BB1D78"/>
    <w:rsid w:val="00BB328B"/>
    <w:rsid w:val="00BB791B"/>
    <w:rsid w:val="00BC3F77"/>
    <w:rsid w:val="00BC46F1"/>
    <w:rsid w:val="00BC6F8F"/>
    <w:rsid w:val="00BD00F0"/>
    <w:rsid w:val="00BD449B"/>
    <w:rsid w:val="00BD520E"/>
    <w:rsid w:val="00BD528F"/>
    <w:rsid w:val="00BE0C5E"/>
    <w:rsid w:val="00BE27B6"/>
    <w:rsid w:val="00BE7EF5"/>
    <w:rsid w:val="00BF03FE"/>
    <w:rsid w:val="00BF0C84"/>
    <w:rsid w:val="00BF4D76"/>
    <w:rsid w:val="00C023A4"/>
    <w:rsid w:val="00C02452"/>
    <w:rsid w:val="00C036C6"/>
    <w:rsid w:val="00C04213"/>
    <w:rsid w:val="00C06E6B"/>
    <w:rsid w:val="00C1160E"/>
    <w:rsid w:val="00C1396D"/>
    <w:rsid w:val="00C141B1"/>
    <w:rsid w:val="00C211A8"/>
    <w:rsid w:val="00C22861"/>
    <w:rsid w:val="00C248C6"/>
    <w:rsid w:val="00C3614A"/>
    <w:rsid w:val="00C36544"/>
    <w:rsid w:val="00C3724D"/>
    <w:rsid w:val="00C37844"/>
    <w:rsid w:val="00C41B55"/>
    <w:rsid w:val="00C42795"/>
    <w:rsid w:val="00C436F4"/>
    <w:rsid w:val="00C44E96"/>
    <w:rsid w:val="00C50CED"/>
    <w:rsid w:val="00C52FB5"/>
    <w:rsid w:val="00C56EAE"/>
    <w:rsid w:val="00C636F7"/>
    <w:rsid w:val="00C63CA6"/>
    <w:rsid w:val="00C705F4"/>
    <w:rsid w:val="00C7093C"/>
    <w:rsid w:val="00C71010"/>
    <w:rsid w:val="00C76055"/>
    <w:rsid w:val="00C762BF"/>
    <w:rsid w:val="00C77AEA"/>
    <w:rsid w:val="00C83547"/>
    <w:rsid w:val="00C859B6"/>
    <w:rsid w:val="00C865E8"/>
    <w:rsid w:val="00C86DFD"/>
    <w:rsid w:val="00C972F4"/>
    <w:rsid w:val="00CA5470"/>
    <w:rsid w:val="00CA7A29"/>
    <w:rsid w:val="00CB47E6"/>
    <w:rsid w:val="00CB5053"/>
    <w:rsid w:val="00CB5F42"/>
    <w:rsid w:val="00CB6C86"/>
    <w:rsid w:val="00CB6D5E"/>
    <w:rsid w:val="00CC42DC"/>
    <w:rsid w:val="00CC6FAD"/>
    <w:rsid w:val="00CD10B7"/>
    <w:rsid w:val="00CD1569"/>
    <w:rsid w:val="00CD523A"/>
    <w:rsid w:val="00CE4FD9"/>
    <w:rsid w:val="00CE6C9E"/>
    <w:rsid w:val="00CE7178"/>
    <w:rsid w:val="00CE7282"/>
    <w:rsid w:val="00CF01D5"/>
    <w:rsid w:val="00CF1E88"/>
    <w:rsid w:val="00CF2B25"/>
    <w:rsid w:val="00CF2F64"/>
    <w:rsid w:val="00CF739E"/>
    <w:rsid w:val="00D06D03"/>
    <w:rsid w:val="00D125AD"/>
    <w:rsid w:val="00D13647"/>
    <w:rsid w:val="00D16432"/>
    <w:rsid w:val="00D177A8"/>
    <w:rsid w:val="00D22171"/>
    <w:rsid w:val="00D24875"/>
    <w:rsid w:val="00D24E88"/>
    <w:rsid w:val="00D25B37"/>
    <w:rsid w:val="00D35EA4"/>
    <w:rsid w:val="00D4167A"/>
    <w:rsid w:val="00D43369"/>
    <w:rsid w:val="00D45E33"/>
    <w:rsid w:val="00D51814"/>
    <w:rsid w:val="00D530C9"/>
    <w:rsid w:val="00D547B4"/>
    <w:rsid w:val="00D71180"/>
    <w:rsid w:val="00D80077"/>
    <w:rsid w:val="00D8090A"/>
    <w:rsid w:val="00D83AE9"/>
    <w:rsid w:val="00D8706A"/>
    <w:rsid w:val="00D9067A"/>
    <w:rsid w:val="00D95048"/>
    <w:rsid w:val="00D97DD0"/>
    <w:rsid w:val="00DA2B88"/>
    <w:rsid w:val="00DA2FD7"/>
    <w:rsid w:val="00DA4882"/>
    <w:rsid w:val="00DA4C35"/>
    <w:rsid w:val="00DB3880"/>
    <w:rsid w:val="00DC6540"/>
    <w:rsid w:val="00DC7389"/>
    <w:rsid w:val="00DC79F3"/>
    <w:rsid w:val="00DD60FD"/>
    <w:rsid w:val="00DD780B"/>
    <w:rsid w:val="00DE1A58"/>
    <w:rsid w:val="00DE25A6"/>
    <w:rsid w:val="00DE39E6"/>
    <w:rsid w:val="00DE7C0F"/>
    <w:rsid w:val="00DF1823"/>
    <w:rsid w:val="00DF3F38"/>
    <w:rsid w:val="00DF572A"/>
    <w:rsid w:val="00DF78AF"/>
    <w:rsid w:val="00E028B5"/>
    <w:rsid w:val="00E02ABC"/>
    <w:rsid w:val="00E12F36"/>
    <w:rsid w:val="00E144AA"/>
    <w:rsid w:val="00E15325"/>
    <w:rsid w:val="00E16519"/>
    <w:rsid w:val="00E17AE6"/>
    <w:rsid w:val="00E21909"/>
    <w:rsid w:val="00E3008E"/>
    <w:rsid w:val="00E30883"/>
    <w:rsid w:val="00E33448"/>
    <w:rsid w:val="00E34769"/>
    <w:rsid w:val="00E3509E"/>
    <w:rsid w:val="00E412FB"/>
    <w:rsid w:val="00E44FBC"/>
    <w:rsid w:val="00E45DFE"/>
    <w:rsid w:val="00E46F9C"/>
    <w:rsid w:val="00E52EB8"/>
    <w:rsid w:val="00E54278"/>
    <w:rsid w:val="00E55FEB"/>
    <w:rsid w:val="00E574D4"/>
    <w:rsid w:val="00E617B3"/>
    <w:rsid w:val="00E64550"/>
    <w:rsid w:val="00E6581C"/>
    <w:rsid w:val="00E7090F"/>
    <w:rsid w:val="00E7138E"/>
    <w:rsid w:val="00E71F5B"/>
    <w:rsid w:val="00E721F8"/>
    <w:rsid w:val="00E7446B"/>
    <w:rsid w:val="00E7620F"/>
    <w:rsid w:val="00E806CB"/>
    <w:rsid w:val="00E80A73"/>
    <w:rsid w:val="00E859D1"/>
    <w:rsid w:val="00E86ED5"/>
    <w:rsid w:val="00E93425"/>
    <w:rsid w:val="00E97A53"/>
    <w:rsid w:val="00EA3D21"/>
    <w:rsid w:val="00EA5A3F"/>
    <w:rsid w:val="00EB017E"/>
    <w:rsid w:val="00EB48F2"/>
    <w:rsid w:val="00EB4F6E"/>
    <w:rsid w:val="00EB5C91"/>
    <w:rsid w:val="00EC3B3D"/>
    <w:rsid w:val="00EC4740"/>
    <w:rsid w:val="00EC6DBA"/>
    <w:rsid w:val="00ED16D3"/>
    <w:rsid w:val="00ED56CD"/>
    <w:rsid w:val="00EE0D93"/>
    <w:rsid w:val="00EE379D"/>
    <w:rsid w:val="00F01A42"/>
    <w:rsid w:val="00F01E2D"/>
    <w:rsid w:val="00F04329"/>
    <w:rsid w:val="00F04BEA"/>
    <w:rsid w:val="00F05762"/>
    <w:rsid w:val="00F0659F"/>
    <w:rsid w:val="00F1183C"/>
    <w:rsid w:val="00F11C1A"/>
    <w:rsid w:val="00F20CCC"/>
    <w:rsid w:val="00F20ED5"/>
    <w:rsid w:val="00F21EB8"/>
    <w:rsid w:val="00F23E98"/>
    <w:rsid w:val="00F25833"/>
    <w:rsid w:val="00F27372"/>
    <w:rsid w:val="00F3102B"/>
    <w:rsid w:val="00F31D3A"/>
    <w:rsid w:val="00F33BA0"/>
    <w:rsid w:val="00F34715"/>
    <w:rsid w:val="00F359C4"/>
    <w:rsid w:val="00F40360"/>
    <w:rsid w:val="00F41413"/>
    <w:rsid w:val="00F423B5"/>
    <w:rsid w:val="00F4579D"/>
    <w:rsid w:val="00F476C5"/>
    <w:rsid w:val="00F54D0D"/>
    <w:rsid w:val="00F5510C"/>
    <w:rsid w:val="00F6478A"/>
    <w:rsid w:val="00F66A34"/>
    <w:rsid w:val="00F6783B"/>
    <w:rsid w:val="00F75396"/>
    <w:rsid w:val="00F77D0D"/>
    <w:rsid w:val="00F80EDE"/>
    <w:rsid w:val="00F81D86"/>
    <w:rsid w:val="00F85E50"/>
    <w:rsid w:val="00F9073B"/>
    <w:rsid w:val="00F91253"/>
    <w:rsid w:val="00F94115"/>
    <w:rsid w:val="00FA1EAD"/>
    <w:rsid w:val="00FA2FB5"/>
    <w:rsid w:val="00FA5FA2"/>
    <w:rsid w:val="00FB258B"/>
    <w:rsid w:val="00FB5504"/>
    <w:rsid w:val="00FB627E"/>
    <w:rsid w:val="00FC1BB0"/>
    <w:rsid w:val="00FC61AB"/>
    <w:rsid w:val="00FC6A2A"/>
    <w:rsid w:val="00FD0E25"/>
    <w:rsid w:val="00FD12F2"/>
    <w:rsid w:val="00FD7698"/>
    <w:rsid w:val="00FE00FF"/>
    <w:rsid w:val="00FE0A88"/>
    <w:rsid w:val="00FF547A"/>
    <w:rsid w:val="00FF5E01"/>
    <w:rsid w:val="00FF6036"/>
    <w:rsid w:val="00FF7EC5"/>
    <w:rsid w:val="03A53935"/>
    <w:rsid w:val="078EE575"/>
    <w:rsid w:val="098CFA35"/>
    <w:rsid w:val="0AAA408A"/>
    <w:rsid w:val="0AEA66E6"/>
    <w:rsid w:val="0CC3C08B"/>
    <w:rsid w:val="10C21BE0"/>
    <w:rsid w:val="128A8392"/>
    <w:rsid w:val="19E7B777"/>
    <w:rsid w:val="1B975AF4"/>
    <w:rsid w:val="1FB8508D"/>
    <w:rsid w:val="212A2D09"/>
    <w:rsid w:val="22AB1629"/>
    <w:rsid w:val="26E9A0D3"/>
    <w:rsid w:val="289D009B"/>
    <w:rsid w:val="2A9C965B"/>
    <w:rsid w:val="2ED17E1E"/>
    <w:rsid w:val="35CE1816"/>
    <w:rsid w:val="3AD17DAE"/>
    <w:rsid w:val="419BEF2C"/>
    <w:rsid w:val="42BE7D58"/>
    <w:rsid w:val="44BFF5AE"/>
    <w:rsid w:val="45E71856"/>
    <w:rsid w:val="4718A25F"/>
    <w:rsid w:val="479737B7"/>
    <w:rsid w:val="4C688A63"/>
    <w:rsid w:val="539281E2"/>
    <w:rsid w:val="5A880A7A"/>
    <w:rsid w:val="5C9075EE"/>
    <w:rsid w:val="5CB79F90"/>
    <w:rsid w:val="5D9CA61F"/>
    <w:rsid w:val="616D28AB"/>
    <w:rsid w:val="62FB5088"/>
    <w:rsid w:val="6840441F"/>
    <w:rsid w:val="693D8B44"/>
    <w:rsid w:val="6AA7534A"/>
    <w:rsid w:val="6FF33219"/>
    <w:rsid w:val="717DB2B3"/>
    <w:rsid w:val="728A0091"/>
    <w:rsid w:val="72CDEF2A"/>
    <w:rsid w:val="76573477"/>
    <w:rsid w:val="77F08551"/>
    <w:rsid w:val="7A117A26"/>
    <w:rsid w:val="7F32BB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EB4C4"/>
  <w15:chartTrackingRefBased/>
  <w15:docId w15:val="{D45CCDE8-03C9-4004-8B5E-EE2C101E7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47E6"/>
    <w:pPr>
      <w:keepNext/>
      <w:keepLines/>
      <w:spacing w:before="360" w:after="80"/>
      <w:outlineLvl w:val="0"/>
    </w:pPr>
    <w:rPr>
      <w:rFonts w:asciiTheme="majorHAnsi" w:eastAsiaTheme="majorEastAsia" w:hAnsiTheme="majorHAnsi" w:cstheme="majorBidi"/>
      <w:color w:val="006074" w:themeColor="accent1" w:themeShade="BF"/>
      <w:sz w:val="40"/>
      <w:szCs w:val="40"/>
    </w:rPr>
  </w:style>
  <w:style w:type="paragraph" w:styleId="Heading2">
    <w:name w:val="heading 2"/>
    <w:basedOn w:val="Normal"/>
    <w:next w:val="Normal"/>
    <w:link w:val="Heading2Char"/>
    <w:uiPriority w:val="9"/>
    <w:unhideWhenUsed/>
    <w:qFormat/>
    <w:rsid w:val="00CB47E6"/>
    <w:pPr>
      <w:keepNext/>
      <w:keepLines/>
      <w:spacing w:before="160" w:after="80"/>
      <w:outlineLvl w:val="1"/>
    </w:pPr>
    <w:rPr>
      <w:rFonts w:asciiTheme="majorHAnsi" w:eastAsiaTheme="majorEastAsia" w:hAnsiTheme="majorHAnsi" w:cstheme="majorBidi"/>
      <w:color w:val="006074" w:themeColor="accent1" w:themeShade="BF"/>
      <w:sz w:val="32"/>
      <w:szCs w:val="32"/>
    </w:rPr>
  </w:style>
  <w:style w:type="paragraph" w:styleId="Heading3">
    <w:name w:val="heading 3"/>
    <w:basedOn w:val="Normal"/>
    <w:next w:val="Normal"/>
    <w:link w:val="Heading3Char"/>
    <w:uiPriority w:val="9"/>
    <w:semiHidden/>
    <w:unhideWhenUsed/>
    <w:qFormat/>
    <w:rsid w:val="00CB47E6"/>
    <w:pPr>
      <w:keepNext/>
      <w:keepLines/>
      <w:spacing w:before="160" w:after="80"/>
      <w:outlineLvl w:val="2"/>
    </w:pPr>
    <w:rPr>
      <w:rFonts w:eastAsiaTheme="majorEastAsia" w:cstheme="majorBidi"/>
      <w:color w:val="006074" w:themeColor="accent1" w:themeShade="BF"/>
      <w:sz w:val="28"/>
      <w:szCs w:val="28"/>
    </w:rPr>
  </w:style>
  <w:style w:type="paragraph" w:styleId="Heading4">
    <w:name w:val="heading 4"/>
    <w:basedOn w:val="Normal"/>
    <w:next w:val="Normal"/>
    <w:link w:val="Heading4Char"/>
    <w:uiPriority w:val="9"/>
    <w:semiHidden/>
    <w:unhideWhenUsed/>
    <w:qFormat/>
    <w:rsid w:val="00CB47E6"/>
    <w:pPr>
      <w:keepNext/>
      <w:keepLines/>
      <w:spacing w:before="80" w:after="40"/>
      <w:outlineLvl w:val="3"/>
    </w:pPr>
    <w:rPr>
      <w:rFonts w:eastAsiaTheme="majorEastAsia" w:cstheme="majorBidi"/>
      <w:i/>
      <w:iCs/>
      <w:color w:val="006074" w:themeColor="accent1" w:themeShade="BF"/>
    </w:rPr>
  </w:style>
  <w:style w:type="paragraph" w:styleId="Heading5">
    <w:name w:val="heading 5"/>
    <w:basedOn w:val="Normal"/>
    <w:next w:val="Normal"/>
    <w:link w:val="Heading5Char"/>
    <w:uiPriority w:val="9"/>
    <w:semiHidden/>
    <w:unhideWhenUsed/>
    <w:qFormat/>
    <w:rsid w:val="00CB47E6"/>
    <w:pPr>
      <w:keepNext/>
      <w:keepLines/>
      <w:spacing w:before="80" w:after="40"/>
      <w:outlineLvl w:val="4"/>
    </w:pPr>
    <w:rPr>
      <w:rFonts w:eastAsiaTheme="majorEastAsia" w:cstheme="majorBidi"/>
      <w:color w:val="006074" w:themeColor="accent1" w:themeShade="BF"/>
    </w:rPr>
  </w:style>
  <w:style w:type="paragraph" w:styleId="Heading6">
    <w:name w:val="heading 6"/>
    <w:basedOn w:val="Normal"/>
    <w:next w:val="Normal"/>
    <w:link w:val="Heading6Char"/>
    <w:uiPriority w:val="9"/>
    <w:semiHidden/>
    <w:unhideWhenUsed/>
    <w:qFormat/>
    <w:rsid w:val="00CB47E6"/>
    <w:pPr>
      <w:keepNext/>
      <w:keepLines/>
      <w:spacing w:before="40" w:after="0"/>
      <w:outlineLvl w:val="5"/>
    </w:pPr>
    <w:rPr>
      <w:rFonts w:eastAsiaTheme="majorEastAsia" w:cstheme="majorBidi"/>
      <w:i/>
      <w:iCs/>
      <w:color w:val="4C6782" w:themeColor="text1" w:themeTint="A6"/>
    </w:rPr>
  </w:style>
  <w:style w:type="paragraph" w:styleId="Heading7">
    <w:name w:val="heading 7"/>
    <w:basedOn w:val="Normal"/>
    <w:next w:val="Normal"/>
    <w:link w:val="Heading7Char"/>
    <w:uiPriority w:val="9"/>
    <w:semiHidden/>
    <w:unhideWhenUsed/>
    <w:qFormat/>
    <w:rsid w:val="00CB47E6"/>
    <w:pPr>
      <w:keepNext/>
      <w:keepLines/>
      <w:spacing w:before="40" w:after="0"/>
      <w:outlineLvl w:val="6"/>
    </w:pPr>
    <w:rPr>
      <w:rFonts w:eastAsiaTheme="majorEastAsia" w:cstheme="majorBidi"/>
      <w:color w:val="4C6782" w:themeColor="text1" w:themeTint="A6"/>
    </w:rPr>
  </w:style>
  <w:style w:type="paragraph" w:styleId="Heading8">
    <w:name w:val="heading 8"/>
    <w:basedOn w:val="Normal"/>
    <w:next w:val="Normal"/>
    <w:link w:val="Heading8Char"/>
    <w:uiPriority w:val="9"/>
    <w:semiHidden/>
    <w:unhideWhenUsed/>
    <w:qFormat/>
    <w:rsid w:val="00CB47E6"/>
    <w:pPr>
      <w:keepNext/>
      <w:keepLines/>
      <w:spacing w:after="0"/>
      <w:outlineLvl w:val="7"/>
    </w:pPr>
    <w:rPr>
      <w:rFonts w:eastAsiaTheme="majorEastAsia" w:cstheme="majorBidi"/>
      <w:i/>
      <w:iCs/>
      <w:color w:val="2B3A49" w:themeColor="text1" w:themeTint="D8"/>
    </w:rPr>
  </w:style>
  <w:style w:type="paragraph" w:styleId="Heading9">
    <w:name w:val="heading 9"/>
    <w:basedOn w:val="Normal"/>
    <w:next w:val="Normal"/>
    <w:link w:val="Heading9Char"/>
    <w:uiPriority w:val="9"/>
    <w:semiHidden/>
    <w:unhideWhenUsed/>
    <w:qFormat/>
    <w:rsid w:val="00CB47E6"/>
    <w:pPr>
      <w:keepNext/>
      <w:keepLines/>
      <w:spacing w:after="0"/>
      <w:outlineLvl w:val="8"/>
    </w:pPr>
    <w:rPr>
      <w:rFonts w:eastAsiaTheme="majorEastAsia" w:cstheme="majorBidi"/>
      <w:color w:val="2B3A49"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47E6"/>
    <w:rPr>
      <w:rFonts w:asciiTheme="majorHAnsi" w:eastAsiaTheme="majorEastAsia" w:hAnsiTheme="majorHAnsi" w:cstheme="majorBidi"/>
      <w:color w:val="006074" w:themeColor="accent1" w:themeShade="BF"/>
      <w:sz w:val="40"/>
      <w:szCs w:val="40"/>
    </w:rPr>
  </w:style>
  <w:style w:type="character" w:customStyle="1" w:styleId="Heading2Char">
    <w:name w:val="Heading 2 Char"/>
    <w:basedOn w:val="DefaultParagraphFont"/>
    <w:link w:val="Heading2"/>
    <w:uiPriority w:val="9"/>
    <w:rsid w:val="00CB47E6"/>
    <w:rPr>
      <w:rFonts w:asciiTheme="majorHAnsi" w:eastAsiaTheme="majorEastAsia" w:hAnsiTheme="majorHAnsi" w:cstheme="majorBidi"/>
      <w:color w:val="006074" w:themeColor="accent1" w:themeShade="BF"/>
      <w:sz w:val="32"/>
      <w:szCs w:val="32"/>
    </w:rPr>
  </w:style>
  <w:style w:type="character" w:customStyle="1" w:styleId="Heading3Char">
    <w:name w:val="Heading 3 Char"/>
    <w:basedOn w:val="DefaultParagraphFont"/>
    <w:link w:val="Heading3"/>
    <w:uiPriority w:val="9"/>
    <w:semiHidden/>
    <w:rsid w:val="00CB47E6"/>
    <w:rPr>
      <w:rFonts w:eastAsiaTheme="majorEastAsia" w:cstheme="majorBidi"/>
      <w:color w:val="006074" w:themeColor="accent1" w:themeShade="BF"/>
      <w:sz w:val="28"/>
      <w:szCs w:val="28"/>
    </w:rPr>
  </w:style>
  <w:style w:type="character" w:customStyle="1" w:styleId="Heading4Char">
    <w:name w:val="Heading 4 Char"/>
    <w:basedOn w:val="DefaultParagraphFont"/>
    <w:link w:val="Heading4"/>
    <w:uiPriority w:val="9"/>
    <w:semiHidden/>
    <w:rsid w:val="00CB47E6"/>
    <w:rPr>
      <w:rFonts w:eastAsiaTheme="majorEastAsia" w:cstheme="majorBidi"/>
      <w:i/>
      <w:iCs/>
      <w:color w:val="006074" w:themeColor="accent1" w:themeShade="BF"/>
    </w:rPr>
  </w:style>
  <w:style w:type="character" w:customStyle="1" w:styleId="Heading5Char">
    <w:name w:val="Heading 5 Char"/>
    <w:basedOn w:val="DefaultParagraphFont"/>
    <w:link w:val="Heading5"/>
    <w:uiPriority w:val="9"/>
    <w:semiHidden/>
    <w:rsid w:val="00CB47E6"/>
    <w:rPr>
      <w:rFonts w:eastAsiaTheme="majorEastAsia" w:cstheme="majorBidi"/>
      <w:color w:val="006074" w:themeColor="accent1" w:themeShade="BF"/>
    </w:rPr>
  </w:style>
  <w:style w:type="character" w:customStyle="1" w:styleId="Heading6Char">
    <w:name w:val="Heading 6 Char"/>
    <w:basedOn w:val="DefaultParagraphFont"/>
    <w:link w:val="Heading6"/>
    <w:uiPriority w:val="9"/>
    <w:semiHidden/>
    <w:rsid w:val="00CB47E6"/>
    <w:rPr>
      <w:rFonts w:eastAsiaTheme="majorEastAsia" w:cstheme="majorBidi"/>
      <w:i/>
      <w:iCs/>
      <w:color w:val="4C6782" w:themeColor="text1" w:themeTint="A6"/>
    </w:rPr>
  </w:style>
  <w:style w:type="character" w:customStyle="1" w:styleId="Heading7Char">
    <w:name w:val="Heading 7 Char"/>
    <w:basedOn w:val="DefaultParagraphFont"/>
    <w:link w:val="Heading7"/>
    <w:uiPriority w:val="9"/>
    <w:semiHidden/>
    <w:rsid w:val="00CB47E6"/>
    <w:rPr>
      <w:rFonts w:eastAsiaTheme="majorEastAsia" w:cstheme="majorBidi"/>
      <w:color w:val="4C6782" w:themeColor="text1" w:themeTint="A6"/>
    </w:rPr>
  </w:style>
  <w:style w:type="character" w:customStyle="1" w:styleId="Heading8Char">
    <w:name w:val="Heading 8 Char"/>
    <w:basedOn w:val="DefaultParagraphFont"/>
    <w:link w:val="Heading8"/>
    <w:uiPriority w:val="9"/>
    <w:semiHidden/>
    <w:rsid w:val="00CB47E6"/>
    <w:rPr>
      <w:rFonts w:eastAsiaTheme="majorEastAsia" w:cstheme="majorBidi"/>
      <w:i/>
      <w:iCs/>
      <w:color w:val="2B3A49" w:themeColor="text1" w:themeTint="D8"/>
    </w:rPr>
  </w:style>
  <w:style w:type="character" w:customStyle="1" w:styleId="Heading9Char">
    <w:name w:val="Heading 9 Char"/>
    <w:basedOn w:val="DefaultParagraphFont"/>
    <w:link w:val="Heading9"/>
    <w:uiPriority w:val="9"/>
    <w:semiHidden/>
    <w:rsid w:val="00CB47E6"/>
    <w:rPr>
      <w:rFonts w:eastAsiaTheme="majorEastAsia" w:cstheme="majorBidi"/>
      <w:color w:val="2B3A49" w:themeColor="text1" w:themeTint="D8"/>
    </w:rPr>
  </w:style>
  <w:style w:type="paragraph" w:styleId="Title">
    <w:name w:val="Title"/>
    <w:basedOn w:val="Normal"/>
    <w:next w:val="Normal"/>
    <w:link w:val="TitleChar"/>
    <w:uiPriority w:val="10"/>
    <w:qFormat/>
    <w:rsid w:val="00CB47E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B47E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47E6"/>
    <w:pPr>
      <w:numPr>
        <w:ilvl w:val="1"/>
      </w:numPr>
    </w:pPr>
    <w:rPr>
      <w:rFonts w:eastAsiaTheme="majorEastAsia" w:cstheme="majorBidi"/>
      <w:color w:val="4C6782" w:themeColor="text1" w:themeTint="A6"/>
      <w:spacing w:val="15"/>
      <w:sz w:val="28"/>
      <w:szCs w:val="28"/>
    </w:rPr>
  </w:style>
  <w:style w:type="character" w:customStyle="1" w:styleId="SubtitleChar">
    <w:name w:val="Subtitle Char"/>
    <w:basedOn w:val="DefaultParagraphFont"/>
    <w:link w:val="Subtitle"/>
    <w:uiPriority w:val="11"/>
    <w:rsid w:val="00CB47E6"/>
    <w:rPr>
      <w:rFonts w:eastAsiaTheme="majorEastAsia" w:cstheme="majorBidi"/>
      <w:color w:val="4C6782" w:themeColor="text1" w:themeTint="A6"/>
      <w:spacing w:val="15"/>
      <w:sz w:val="28"/>
      <w:szCs w:val="28"/>
    </w:rPr>
  </w:style>
  <w:style w:type="paragraph" w:styleId="Quote">
    <w:name w:val="Quote"/>
    <w:basedOn w:val="Normal"/>
    <w:next w:val="Normal"/>
    <w:link w:val="QuoteChar"/>
    <w:uiPriority w:val="29"/>
    <w:qFormat/>
    <w:rsid w:val="00CB47E6"/>
    <w:pPr>
      <w:spacing w:before="160"/>
      <w:jc w:val="center"/>
    </w:pPr>
    <w:rPr>
      <w:i/>
      <w:iCs/>
      <w:color w:val="3C5166" w:themeColor="text1" w:themeTint="BF"/>
    </w:rPr>
  </w:style>
  <w:style w:type="character" w:customStyle="1" w:styleId="QuoteChar">
    <w:name w:val="Quote Char"/>
    <w:basedOn w:val="DefaultParagraphFont"/>
    <w:link w:val="Quote"/>
    <w:uiPriority w:val="29"/>
    <w:rsid w:val="00CB47E6"/>
    <w:rPr>
      <w:i/>
      <w:iCs/>
      <w:color w:val="3C5166" w:themeColor="text1" w:themeTint="BF"/>
    </w:rPr>
  </w:style>
  <w:style w:type="paragraph" w:styleId="ListParagraph">
    <w:name w:val="List Paragraph"/>
    <w:basedOn w:val="Normal"/>
    <w:uiPriority w:val="34"/>
    <w:qFormat/>
    <w:rsid w:val="00CB47E6"/>
    <w:pPr>
      <w:ind w:left="720"/>
      <w:contextualSpacing/>
    </w:pPr>
  </w:style>
  <w:style w:type="character" w:styleId="IntenseEmphasis">
    <w:name w:val="Intense Emphasis"/>
    <w:basedOn w:val="DefaultParagraphFont"/>
    <w:uiPriority w:val="21"/>
    <w:qFormat/>
    <w:rsid w:val="00CB47E6"/>
    <w:rPr>
      <w:i/>
      <w:iCs/>
      <w:color w:val="006074" w:themeColor="accent1" w:themeShade="BF"/>
    </w:rPr>
  </w:style>
  <w:style w:type="paragraph" w:styleId="IntenseQuote">
    <w:name w:val="Intense Quote"/>
    <w:basedOn w:val="Normal"/>
    <w:next w:val="Normal"/>
    <w:link w:val="IntenseQuoteChar"/>
    <w:uiPriority w:val="30"/>
    <w:qFormat/>
    <w:rsid w:val="00CB47E6"/>
    <w:pPr>
      <w:pBdr>
        <w:top w:val="single" w:sz="4" w:space="10" w:color="006074" w:themeColor="accent1" w:themeShade="BF"/>
        <w:bottom w:val="single" w:sz="4" w:space="10" w:color="006074" w:themeColor="accent1" w:themeShade="BF"/>
      </w:pBdr>
      <w:spacing w:before="360" w:after="360"/>
      <w:ind w:left="864" w:right="864"/>
      <w:jc w:val="center"/>
    </w:pPr>
    <w:rPr>
      <w:i/>
      <w:iCs/>
      <w:color w:val="006074" w:themeColor="accent1" w:themeShade="BF"/>
    </w:rPr>
  </w:style>
  <w:style w:type="character" w:customStyle="1" w:styleId="IntenseQuoteChar">
    <w:name w:val="Intense Quote Char"/>
    <w:basedOn w:val="DefaultParagraphFont"/>
    <w:link w:val="IntenseQuote"/>
    <w:uiPriority w:val="30"/>
    <w:rsid w:val="00CB47E6"/>
    <w:rPr>
      <w:i/>
      <w:iCs/>
      <w:color w:val="006074" w:themeColor="accent1" w:themeShade="BF"/>
    </w:rPr>
  </w:style>
  <w:style w:type="character" w:styleId="IntenseReference">
    <w:name w:val="Intense Reference"/>
    <w:basedOn w:val="DefaultParagraphFont"/>
    <w:uiPriority w:val="32"/>
    <w:qFormat/>
    <w:rsid w:val="00CB47E6"/>
    <w:rPr>
      <w:b/>
      <w:bCs/>
      <w:smallCaps/>
      <w:color w:val="006074" w:themeColor="accent1" w:themeShade="BF"/>
      <w:spacing w:val="5"/>
    </w:rPr>
  </w:style>
  <w:style w:type="paragraph" w:styleId="Revision">
    <w:name w:val="Revision"/>
    <w:hidden/>
    <w:uiPriority w:val="99"/>
    <w:semiHidden/>
    <w:rsid w:val="001718C5"/>
    <w:pPr>
      <w:spacing w:after="0" w:line="240" w:lineRule="auto"/>
    </w:pPr>
  </w:style>
  <w:style w:type="character" w:styleId="CommentReference">
    <w:name w:val="annotation reference"/>
    <w:basedOn w:val="DefaultParagraphFont"/>
    <w:uiPriority w:val="99"/>
    <w:semiHidden/>
    <w:unhideWhenUsed/>
    <w:rsid w:val="00912384"/>
    <w:rPr>
      <w:sz w:val="16"/>
      <w:szCs w:val="16"/>
    </w:rPr>
  </w:style>
  <w:style w:type="paragraph" w:styleId="CommentText">
    <w:name w:val="annotation text"/>
    <w:basedOn w:val="Normal"/>
    <w:link w:val="CommentTextChar"/>
    <w:uiPriority w:val="99"/>
    <w:unhideWhenUsed/>
    <w:rsid w:val="00912384"/>
    <w:pPr>
      <w:spacing w:line="240" w:lineRule="auto"/>
    </w:pPr>
    <w:rPr>
      <w:sz w:val="20"/>
      <w:szCs w:val="20"/>
    </w:rPr>
  </w:style>
  <w:style w:type="character" w:customStyle="1" w:styleId="CommentTextChar">
    <w:name w:val="Comment Text Char"/>
    <w:basedOn w:val="DefaultParagraphFont"/>
    <w:link w:val="CommentText"/>
    <w:uiPriority w:val="99"/>
    <w:rsid w:val="00912384"/>
    <w:rPr>
      <w:sz w:val="20"/>
      <w:szCs w:val="20"/>
    </w:rPr>
  </w:style>
  <w:style w:type="paragraph" w:styleId="CommentSubject">
    <w:name w:val="annotation subject"/>
    <w:basedOn w:val="CommentText"/>
    <w:next w:val="CommentText"/>
    <w:link w:val="CommentSubjectChar"/>
    <w:uiPriority w:val="99"/>
    <w:semiHidden/>
    <w:unhideWhenUsed/>
    <w:rsid w:val="00912384"/>
    <w:rPr>
      <w:b/>
      <w:bCs/>
    </w:rPr>
  </w:style>
  <w:style w:type="character" w:customStyle="1" w:styleId="CommentSubjectChar">
    <w:name w:val="Comment Subject Char"/>
    <w:basedOn w:val="CommentTextChar"/>
    <w:link w:val="CommentSubject"/>
    <w:uiPriority w:val="99"/>
    <w:semiHidden/>
    <w:rsid w:val="0091238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Excel theme">
  <a:themeElements>
    <a:clrScheme name="ERCOT">
      <a:dk1>
        <a:srgbClr val="11171D"/>
      </a:dk1>
      <a:lt1>
        <a:srgbClr val="FFFFFF"/>
      </a:lt1>
      <a:dk2>
        <a:srgbClr val="5B6770"/>
      </a:dk2>
      <a:lt2>
        <a:srgbClr val="E6EBF0"/>
      </a:lt2>
      <a:accent1>
        <a:srgbClr val="00829B"/>
      </a:accent1>
      <a:accent2>
        <a:srgbClr val="7C858C"/>
      </a:accent2>
      <a:accent3>
        <a:srgbClr val="26D07C"/>
      </a:accent3>
      <a:accent4>
        <a:srgbClr val="003865"/>
      </a:accent4>
      <a:accent5>
        <a:srgbClr val="685BC7"/>
      </a:accent5>
      <a:accent6>
        <a:srgbClr val="00AEC7"/>
      </a:accent6>
      <a:hlink>
        <a:srgbClr val="0063B4"/>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A355F-C45D-4F44-A8BF-6AF8792D2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3123</Words>
  <Characters>17341</Characters>
  <Application>Microsoft Office Word</Application>
  <DocSecurity>0</DocSecurity>
  <Lines>323</Lines>
  <Paragraphs>65</Paragraphs>
  <ScaleCrop>false</ScaleCrop>
  <Company/>
  <LinksUpToDate>false</LinksUpToDate>
  <CharactersWithSpaces>20432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Hinojosa, Luis</dc:creator>
  <cp:keywords/>
  <dc:description/>
  <cp:lastModifiedBy>Post</cp:lastModifiedBy>
  <cp:revision>3</cp:revision>
  <dcterms:created xsi:type="dcterms:W3CDTF">2026-07-23T00:07:00Z</dcterms:created>
  <dcterms:modified xsi:type="dcterms:W3CDTF">2026-07-23T00:07:00Z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2026-06-18T15:23:21Z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2b80c88e-30d0-4c56-86cd-fd2f7fa5452f</vt:lpwstr>
  </property>
  <property fmtid="{D5CDD505-2E9C-101B-9397-08002B2CF9AE}" pid="8" name="MSIP_Label_7084cbda-52b8-46fb-a7b7-cb5bd465ed85_ContentBits">
    <vt:lpwstr>0</vt:lpwstr>
  </property>
  <property fmtid="{D5CDD505-2E9C-101B-9397-08002B2CF9AE}" pid="9" name="MSIP_Label_7084cbda-52b8-46fb-a7b7-cb5bd465ed85_Tag">
    <vt:lpwstr>10, 3, 0, 1</vt:lpwstr>
  </property>
</Properties>
</file>